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rPr>
          <w:rFonts w:ascii="Times New Roman"/>
          <w:sz w:val="20"/>
        </w:rPr>
      </w:pPr>
    </w:p>
    <w:p>
      <w:pPr>
        <w:pStyle w:val="19"/>
        <w:rPr>
          <w:rFonts w:ascii="Times New Roman"/>
          <w:sz w:val="20"/>
        </w:rPr>
      </w:pPr>
    </w:p>
    <w:p>
      <w:pPr>
        <w:pStyle w:val="71"/>
        <w:numPr>
          <w:ilvl w:val="0"/>
          <w:numId w:val="6"/>
        </w:numPr>
        <w:tabs>
          <w:tab w:val="left" w:pos="1272"/>
        </w:tabs>
        <w:spacing w:line="355" w:lineRule="exact"/>
        <w:jc w:val="center"/>
        <w:rPr>
          <w:b/>
          <w:w w:val="95"/>
          <w:sz w:val="28"/>
          <w:lang w:eastAsia="zh-CN"/>
        </w:rPr>
      </w:pPr>
      <w:r>
        <w:rPr>
          <w:b/>
          <w:spacing w:val="-1"/>
          <w:w w:val="95"/>
          <w:sz w:val="28"/>
          <w:lang w:eastAsia="zh-CN"/>
        </w:rPr>
        <w:t>比选公</w:t>
      </w:r>
      <w:r>
        <w:rPr>
          <w:b/>
          <w:w w:val="95"/>
          <w:sz w:val="28"/>
          <w:lang w:eastAsia="zh-CN"/>
        </w:rPr>
        <w:t>告</w:t>
      </w:r>
    </w:p>
    <w:p>
      <w:pPr>
        <w:pStyle w:val="55"/>
      </w:pPr>
    </w:p>
    <w:p>
      <w:pPr>
        <w:jc w:val="center"/>
        <w:rPr>
          <w:b/>
          <w:bCs/>
          <w:sz w:val="32"/>
          <w:lang w:eastAsia="zh-CN"/>
        </w:rPr>
      </w:pPr>
      <w:r>
        <w:rPr>
          <w:rFonts w:hint="eastAsia"/>
          <w:b/>
          <w:bCs/>
          <w:sz w:val="32"/>
          <w:lang w:eastAsia="zh-CN"/>
        </w:rPr>
        <w:t>福建福海创石油化工有限公司仪表团队PV-5403-1/2阀芯阀杆采购项</w:t>
      </w:r>
      <w:r>
        <w:rPr>
          <w:b/>
          <w:bCs/>
          <w:sz w:val="32"/>
          <w:lang w:eastAsia="zh-CN"/>
        </w:rPr>
        <w:t>目</w:t>
      </w:r>
      <w:r>
        <w:rPr>
          <w:rFonts w:hint="eastAsia"/>
          <w:b/>
          <w:bCs/>
          <w:sz w:val="32"/>
          <w:lang w:eastAsia="zh-CN"/>
        </w:rPr>
        <w:t>比选公告</w:t>
      </w:r>
    </w:p>
    <w:p>
      <w:pPr>
        <w:pStyle w:val="19"/>
        <w:rPr>
          <w:b/>
          <w:sz w:val="28"/>
          <w:lang w:eastAsia="zh-CN"/>
        </w:rPr>
      </w:pPr>
    </w:p>
    <w:p>
      <w:pPr>
        <w:pStyle w:val="19"/>
        <w:keepNext w:val="0"/>
        <w:keepLines w:val="0"/>
        <w:pageBreakBefore w:val="0"/>
        <w:widowControl w:val="0"/>
        <w:kinsoku/>
        <w:wordWrap/>
        <w:overflowPunct/>
        <w:topLinePunct w:val="0"/>
        <w:bidi w:val="0"/>
        <w:snapToGrid/>
        <w:spacing w:before="26" w:line="600" w:lineRule="exact"/>
        <w:ind w:right="121" w:firstLine="480" w:firstLineChars="200"/>
        <w:jc w:val="both"/>
        <w:rPr>
          <w:lang w:eastAsia="zh-CN"/>
        </w:rPr>
      </w:pPr>
      <w:r>
        <w:rPr>
          <w:rFonts w:hint="eastAsia"/>
          <w:lang w:eastAsia="zh-CN"/>
        </w:rPr>
        <w:t>福建福海创石油化工有限公司就“</w:t>
      </w:r>
      <w:r>
        <w:rPr>
          <w:rFonts w:hint="eastAsia"/>
          <w:color w:val="000000" w:themeColor="text1"/>
          <w:u w:val="single"/>
          <w:lang w:eastAsia="zh-CN"/>
        </w:rPr>
        <w:t>福建福海创石油化工有限公司仪表团队PV-5403-1/2阀芯阀杆采购项目（项目编号：QG2301290024）</w:t>
      </w:r>
      <w:r>
        <w:rPr>
          <w:rFonts w:hint="eastAsia"/>
          <w:color w:val="000000" w:themeColor="text1"/>
          <w:lang w:eastAsia="zh-CN"/>
        </w:rPr>
        <w:t>”</w:t>
      </w:r>
      <w:r>
        <w:rPr>
          <w:lang w:eastAsia="zh-CN"/>
        </w:rPr>
        <w:t>进行国内公开比选</w:t>
      </w:r>
      <w:r>
        <w:rPr>
          <w:rFonts w:hint="eastAsia"/>
          <w:lang w:eastAsia="zh-CN"/>
        </w:rPr>
        <w:t>，欢迎国内符合条件的供应商积极参选。</w:t>
      </w:r>
    </w:p>
    <w:p>
      <w:pPr>
        <w:keepNext w:val="0"/>
        <w:keepLines w:val="0"/>
        <w:pageBreakBefore w:val="0"/>
        <w:widowControl w:val="0"/>
        <w:tabs>
          <w:tab w:val="left" w:pos="709"/>
        </w:tabs>
        <w:kinsoku/>
        <w:wordWrap/>
        <w:overflowPunct/>
        <w:topLinePunct w:val="0"/>
        <w:bidi w:val="0"/>
        <w:snapToGrid/>
        <w:spacing w:line="600" w:lineRule="exact"/>
        <w:ind w:firstLine="514" w:firstLineChars="200"/>
        <w:jc w:val="both"/>
        <w:rPr>
          <w:b/>
          <w:snapToGrid w:val="0"/>
          <w:color w:val="000000" w:themeColor="text1"/>
          <w:spacing w:val="8"/>
          <w:sz w:val="24"/>
          <w:szCs w:val="24"/>
          <w:lang w:eastAsia="zh-CN"/>
        </w:rPr>
      </w:pPr>
      <w:r>
        <w:rPr>
          <w:b/>
          <w:snapToGrid w:val="0"/>
          <w:color w:val="000000" w:themeColor="text1"/>
          <w:spacing w:val="8"/>
          <w:sz w:val="24"/>
          <w:szCs w:val="24"/>
          <w:lang w:eastAsia="zh-CN"/>
        </w:rPr>
        <w:t>一</w:t>
      </w:r>
      <w:r>
        <w:rPr>
          <w:rFonts w:hint="eastAsia"/>
          <w:b/>
          <w:snapToGrid w:val="0"/>
          <w:color w:val="000000" w:themeColor="text1"/>
          <w:spacing w:val="8"/>
          <w:sz w:val="24"/>
          <w:szCs w:val="24"/>
          <w:lang w:eastAsia="zh-CN"/>
        </w:rPr>
        <w:t>、</w:t>
      </w:r>
      <w:r>
        <w:rPr>
          <w:b/>
          <w:snapToGrid w:val="0"/>
          <w:color w:val="000000" w:themeColor="text1"/>
          <w:spacing w:val="8"/>
          <w:sz w:val="24"/>
          <w:szCs w:val="24"/>
          <w:lang w:eastAsia="zh-CN"/>
        </w:rPr>
        <w:t>项目概况</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sz w:val="24"/>
          <w:szCs w:val="24"/>
          <w:lang w:eastAsia="zh-CN"/>
        </w:rPr>
      </w:pPr>
      <w:r>
        <w:rPr>
          <w:sz w:val="24"/>
          <w:szCs w:val="24"/>
          <w:lang w:eastAsia="zh-CN"/>
        </w:rPr>
        <w:t>1.</w:t>
      </w:r>
      <w:r>
        <w:rPr>
          <w:rFonts w:hint="eastAsia"/>
          <w:sz w:val="24"/>
          <w:szCs w:val="24"/>
          <w:lang w:eastAsia="zh-CN"/>
        </w:rPr>
        <w:t>项目名称：福建福海创石油化工有限公司仪表团队PV-5403-1/2阀芯阀杆采购项</w:t>
      </w:r>
      <w:r>
        <w:rPr>
          <w:sz w:val="24"/>
          <w:szCs w:val="24"/>
          <w:lang w:eastAsia="zh-CN"/>
        </w:rPr>
        <w:t>目</w:t>
      </w:r>
      <w:r>
        <w:rPr>
          <w:rFonts w:hint="eastAsia"/>
          <w:sz w:val="24"/>
          <w:szCs w:val="24"/>
          <w:lang w:eastAsia="zh-CN"/>
        </w:rPr>
        <w:t>。</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rFonts w:hint="eastAsia"/>
          <w:sz w:val="24"/>
          <w:szCs w:val="24"/>
          <w:lang w:eastAsia="zh-CN"/>
        </w:rPr>
      </w:pPr>
      <w:r>
        <w:rPr>
          <w:sz w:val="24"/>
          <w:szCs w:val="24"/>
          <w:lang w:eastAsia="zh-CN"/>
        </w:rPr>
        <w:t>2.</w:t>
      </w:r>
      <w:r>
        <w:rPr>
          <w:rFonts w:hint="eastAsia"/>
          <w:sz w:val="24"/>
          <w:szCs w:val="24"/>
          <w:lang w:eastAsia="zh-CN"/>
        </w:rPr>
        <w:t>比选项目说明：规格：18寸*20寸 1500LB,阀门系列号：ME12A0084-19~20，</w:t>
      </w:r>
      <w:r>
        <w:rPr>
          <w:rFonts w:hint="eastAsia"/>
          <w:sz w:val="24"/>
          <w:szCs w:val="24"/>
          <w:lang w:val="en-US" w:eastAsia="zh-CN"/>
        </w:rPr>
        <w:t>原阀备件号：0200005-805-M86，厂牌：Masoneilan\位号PV-5403-1/2</w:t>
      </w:r>
      <w:r>
        <w:rPr>
          <w:rFonts w:hint="eastAsia"/>
          <w:sz w:val="24"/>
          <w:szCs w:val="24"/>
          <w:lang w:eastAsia="zh-CN"/>
        </w:rPr>
        <w:t>。</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rFonts w:hint="eastAsia"/>
          <w:sz w:val="24"/>
          <w:szCs w:val="24"/>
          <w:lang w:eastAsia="zh-CN"/>
        </w:rPr>
      </w:pPr>
      <w:r>
        <w:rPr>
          <w:sz w:val="24"/>
          <w:szCs w:val="24"/>
          <w:lang w:eastAsia="zh-CN"/>
        </w:rPr>
        <w:t>3.</w:t>
      </w:r>
      <w:r>
        <w:rPr>
          <w:rFonts w:hint="eastAsia"/>
          <w:sz w:val="24"/>
          <w:szCs w:val="24"/>
          <w:lang w:eastAsia="zh-CN"/>
        </w:rPr>
        <w:t>比选控制价：</w:t>
      </w:r>
      <w:r>
        <w:rPr>
          <w:rFonts w:hint="eastAsia"/>
          <w:sz w:val="24"/>
          <w:szCs w:val="24"/>
          <w:lang w:val="en-US" w:eastAsia="zh-CN"/>
        </w:rPr>
        <w:t>41.81</w:t>
      </w:r>
      <w:r>
        <w:rPr>
          <w:sz w:val="24"/>
          <w:szCs w:val="24"/>
          <w:lang w:eastAsia="zh-CN"/>
        </w:rPr>
        <w:t>万元</w:t>
      </w:r>
      <w:r>
        <w:rPr>
          <w:rFonts w:hint="eastAsia"/>
          <w:sz w:val="24"/>
          <w:szCs w:val="24"/>
          <w:lang w:eastAsia="zh-CN"/>
        </w:rPr>
        <w:t>（含13%增值税）。</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rFonts w:hint="default"/>
          <w:lang w:val="en-US" w:eastAsia="zh-CN"/>
        </w:rPr>
      </w:pPr>
      <w:r>
        <w:rPr>
          <w:rFonts w:hint="eastAsia"/>
          <w:sz w:val="24"/>
          <w:szCs w:val="24"/>
          <w:lang w:val="en-US" w:eastAsia="zh-CN"/>
        </w:rPr>
        <w:t>4.</w:t>
      </w:r>
      <w:r>
        <w:rPr>
          <w:rFonts w:hint="eastAsia" w:ascii="宋体" w:hAnsi="宋体"/>
          <w:b w:val="0"/>
          <w:bCs w:val="0"/>
          <w:sz w:val="24"/>
        </w:rPr>
        <w:t>付款方式</w:t>
      </w:r>
      <w:r>
        <w:rPr>
          <w:rFonts w:hint="eastAsia"/>
          <w:b w:val="0"/>
          <w:bCs w:val="0"/>
          <w:sz w:val="24"/>
          <w:lang w:val="en-US" w:eastAsia="zh-CN"/>
        </w:rPr>
        <w:t>要求</w:t>
      </w:r>
      <w:r>
        <w:rPr>
          <w:rFonts w:hint="eastAsia" w:ascii="宋体" w:hAnsi="宋体"/>
          <w:b w:val="0"/>
          <w:bCs w:val="0"/>
          <w:sz w:val="24"/>
        </w:rPr>
        <w:t>：</w:t>
      </w:r>
      <w:r>
        <w:rPr>
          <w:rFonts w:hint="eastAsia"/>
          <w:b w:val="0"/>
          <w:bCs w:val="0"/>
          <w:sz w:val="24"/>
          <w:lang w:val="en-US" w:eastAsia="zh-CN"/>
        </w:rPr>
        <w:t>无预付款。</w:t>
      </w:r>
      <w:r>
        <w:rPr>
          <w:rFonts w:hint="eastAsia" w:ascii="宋体" w:hAnsi="宋体"/>
          <w:b w:val="0"/>
          <w:bCs w:val="0"/>
          <w:sz w:val="24"/>
        </w:rPr>
        <w:t>全部货款以现汇支付</w:t>
      </w:r>
      <w:r>
        <w:rPr>
          <w:rFonts w:hint="eastAsia"/>
          <w:b w:val="0"/>
          <w:bCs w:val="0"/>
          <w:sz w:val="24"/>
          <w:lang w:eastAsia="zh-CN"/>
        </w:rPr>
        <w:t>，</w:t>
      </w:r>
      <w:r>
        <w:rPr>
          <w:rFonts w:hint="eastAsia" w:ascii="宋体" w:hAnsi="宋体"/>
          <w:b w:val="0"/>
          <w:bCs w:val="0"/>
          <w:sz w:val="24"/>
          <w:u w:val="single"/>
        </w:rPr>
        <w:t>货到验收合格付9</w:t>
      </w:r>
      <w:r>
        <w:rPr>
          <w:rFonts w:hint="eastAsia" w:ascii="宋体" w:hAnsi="宋体"/>
          <w:b w:val="0"/>
          <w:bCs w:val="0"/>
          <w:sz w:val="24"/>
          <w:u w:val="single"/>
          <w:lang w:val="en-US" w:eastAsia="zh-CN"/>
        </w:rPr>
        <w:t>0</w:t>
      </w:r>
      <w:r>
        <w:rPr>
          <w:rFonts w:hint="eastAsia" w:ascii="宋体" w:hAnsi="宋体"/>
          <w:b w:val="0"/>
          <w:bCs w:val="0"/>
          <w:sz w:val="24"/>
          <w:u w:val="single"/>
        </w:rPr>
        <w:t>%，质保金</w:t>
      </w:r>
      <w:r>
        <w:rPr>
          <w:rFonts w:hint="eastAsia" w:ascii="宋体" w:hAnsi="宋体"/>
          <w:b w:val="0"/>
          <w:bCs w:val="0"/>
          <w:sz w:val="24"/>
          <w:u w:val="single"/>
          <w:lang w:val="en-US" w:eastAsia="zh-CN"/>
        </w:rPr>
        <w:t>10</w:t>
      </w:r>
      <w:r>
        <w:rPr>
          <w:rFonts w:hint="eastAsia" w:ascii="宋体" w:hAnsi="宋体"/>
          <w:b w:val="0"/>
          <w:bCs w:val="0"/>
          <w:sz w:val="24"/>
          <w:u w:val="single"/>
        </w:rPr>
        <w:t>%</w:t>
      </w:r>
      <w:r>
        <w:rPr>
          <w:rFonts w:hint="eastAsia" w:ascii="宋体" w:hAnsi="宋体"/>
          <w:b w:val="0"/>
          <w:bCs w:val="0"/>
          <w:sz w:val="24"/>
        </w:rPr>
        <w:t>（质保期以</w:t>
      </w:r>
      <w:r>
        <w:rPr>
          <w:rFonts w:hint="eastAsia"/>
          <w:b w:val="0"/>
          <w:bCs w:val="0"/>
          <w:sz w:val="24"/>
          <w:lang w:val="en-US" w:eastAsia="zh-CN"/>
        </w:rPr>
        <w:t>最终双方签定的技术协议为准</w:t>
      </w:r>
      <w:r>
        <w:rPr>
          <w:rFonts w:hint="eastAsia" w:ascii="宋体" w:hAnsi="宋体"/>
          <w:b w:val="0"/>
          <w:bCs w:val="0"/>
          <w:sz w:val="24"/>
        </w:rPr>
        <w:t>）。</w:t>
      </w:r>
    </w:p>
    <w:p>
      <w:pPr>
        <w:keepNext w:val="0"/>
        <w:keepLines w:val="0"/>
        <w:pageBreakBefore w:val="0"/>
        <w:widowControl w:val="0"/>
        <w:tabs>
          <w:tab w:val="left" w:pos="709"/>
        </w:tabs>
        <w:kinsoku/>
        <w:wordWrap/>
        <w:overflowPunct/>
        <w:topLinePunct w:val="0"/>
        <w:bidi w:val="0"/>
        <w:snapToGrid/>
        <w:spacing w:line="600" w:lineRule="exact"/>
        <w:ind w:firstLine="514" w:firstLineChars="200"/>
        <w:jc w:val="both"/>
        <w:rPr>
          <w:b/>
          <w:snapToGrid w:val="0"/>
          <w:color w:val="000000" w:themeColor="text1"/>
          <w:spacing w:val="8"/>
          <w:sz w:val="24"/>
          <w:szCs w:val="24"/>
          <w:lang w:eastAsia="zh-CN"/>
        </w:rPr>
      </w:pPr>
      <w:r>
        <w:rPr>
          <w:b/>
          <w:snapToGrid w:val="0"/>
          <w:color w:val="000000" w:themeColor="text1"/>
          <w:spacing w:val="8"/>
          <w:sz w:val="24"/>
          <w:szCs w:val="24"/>
          <w:lang w:eastAsia="zh-CN"/>
        </w:rPr>
        <w:t>二、参选人资格要求</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sz w:val="24"/>
          <w:szCs w:val="24"/>
          <w:lang w:eastAsia="zh-CN"/>
        </w:rPr>
      </w:pPr>
      <w:r>
        <w:rPr>
          <w:rFonts w:hint="eastAsia"/>
          <w:sz w:val="24"/>
          <w:szCs w:val="24"/>
          <w:lang w:eastAsia="zh-CN"/>
        </w:rPr>
        <w:t>1.参选人必须具备有效的企业法人营业执照，</w:t>
      </w:r>
      <w:r>
        <w:rPr>
          <w:rFonts w:hint="eastAsia"/>
          <w:color w:val="000000"/>
          <w:sz w:val="24"/>
          <w:szCs w:val="24"/>
          <w:lang w:eastAsia="zh-CN"/>
        </w:rPr>
        <w:t>参选单位应是具备独立法人资格且有能力按我司需求提供货物及服务的制造商。</w:t>
      </w:r>
    </w:p>
    <w:p>
      <w:pPr>
        <w:pStyle w:val="202"/>
        <w:keepNext w:val="0"/>
        <w:keepLines w:val="0"/>
        <w:pageBreakBefore w:val="0"/>
        <w:widowControl w:val="0"/>
        <w:kinsoku/>
        <w:wordWrap/>
        <w:overflowPunct/>
        <w:topLinePunct w:val="0"/>
        <w:bidi w:val="0"/>
        <w:snapToGrid/>
        <w:spacing w:line="600" w:lineRule="exact"/>
        <w:ind w:firstLine="480" w:firstLineChars="200"/>
        <w:jc w:val="both"/>
        <w:rPr>
          <w:sz w:val="24"/>
          <w:szCs w:val="24"/>
        </w:rPr>
      </w:pPr>
      <w:r>
        <w:rPr>
          <w:color w:val="000000" w:themeColor="text1"/>
          <w:sz w:val="24"/>
          <w:szCs w:val="24"/>
        </w:rPr>
        <w:t>2</w:t>
      </w:r>
      <w:r>
        <w:rPr>
          <w:rFonts w:hint="eastAsia"/>
          <w:color w:val="000000" w:themeColor="text1"/>
          <w:sz w:val="24"/>
          <w:szCs w:val="24"/>
        </w:rPr>
        <w:t>.</w:t>
      </w:r>
      <w:r>
        <w:rPr>
          <w:sz w:val="24"/>
          <w:szCs w:val="24"/>
        </w:rPr>
        <w:t xml:space="preserve"> 单位负责人为同一人或者存在控股、管理关系的不同单位不得同时参加本项目的比选；</w:t>
      </w:r>
      <w:r>
        <w:rPr>
          <w:color w:val="000000" w:themeColor="text1"/>
          <w:sz w:val="24"/>
          <w:szCs w:val="24"/>
        </w:rPr>
        <w:t>参选人没有失信黑名单记录（以最高院失信被执行人系统发布信息为准）</w:t>
      </w:r>
      <w:r>
        <w:rPr>
          <w:rFonts w:hint="eastAsia"/>
          <w:color w:val="000000" w:themeColor="text1"/>
          <w:sz w:val="24"/>
          <w:szCs w:val="24"/>
        </w:rPr>
        <w:t>，</w:t>
      </w:r>
      <w:r>
        <w:rPr>
          <w:color w:val="000000" w:themeColor="text1"/>
          <w:sz w:val="24"/>
          <w:szCs w:val="24"/>
        </w:rPr>
        <w:t>与</w:t>
      </w:r>
      <w:r>
        <w:rPr>
          <w:rFonts w:hint="eastAsia"/>
          <w:color w:val="000000" w:themeColor="text1"/>
          <w:sz w:val="24"/>
          <w:szCs w:val="24"/>
        </w:rPr>
        <w:t>比选人</w:t>
      </w:r>
      <w:r>
        <w:rPr>
          <w:color w:val="000000" w:themeColor="text1"/>
          <w:sz w:val="24"/>
          <w:szCs w:val="24"/>
        </w:rPr>
        <w:t>无诉讼纠纷</w:t>
      </w:r>
      <w:r>
        <w:rPr>
          <w:rFonts w:hint="eastAsia"/>
          <w:color w:val="000000" w:themeColor="text1"/>
          <w:sz w:val="24"/>
          <w:szCs w:val="24"/>
        </w:rPr>
        <w:t>。</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sz w:val="24"/>
          <w:szCs w:val="24"/>
          <w:lang w:eastAsia="zh-CN"/>
        </w:rPr>
      </w:pPr>
      <w:r>
        <w:rPr>
          <w:color w:val="000000" w:themeColor="text1"/>
          <w:sz w:val="24"/>
          <w:szCs w:val="24"/>
          <w:lang w:eastAsia="zh-CN"/>
        </w:rPr>
        <w:t>3.</w:t>
      </w:r>
      <w:r>
        <w:rPr>
          <w:rFonts w:ascii="Arial" w:hAnsi="Arial" w:cs="Arial"/>
          <w:color w:val="111111"/>
          <w:shd w:val="clear" w:color="auto" w:fill="FFFFFF"/>
          <w:lang w:eastAsia="zh-CN"/>
        </w:rPr>
        <w:t xml:space="preserve"> </w:t>
      </w:r>
      <w:r>
        <w:rPr>
          <w:rFonts w:ascii="宋体" w:hAnsi="宋体" w:eastAsia="宋体" w:cs="宋体"/>
          <w:sz w:val="24"/>
          <w:szCs w:val="24"/>
        </w:rPr>
        <w:t>参选人需具备</w:t>
      </w:r>
      <w:r>
        <w:rPr>
          <w:rFonts w:ascii="Arial" w:hAnsi="Arial" w:cs="Arial"/>
          <w:bCs/>
          <w:sz w:val="24"/>
          <w:szCs w:val="24"/>
        </w:rPr>
        <w:t>提供的</w:t>
      </w:r>
      <w:r>
        <w:rPr>
          <w:rFonts w:hint="eastAsia" w:ascii="Arial" w:hAnsi="Arial" w:cs="Arial"/>
          <w:bCs/>
          <w:sz w:val="24"/>
          <w:szCs w:val="24"/>
        </w:rPr>
        <w:t>阀芯/阀杆</w:t>
      </w:r>
      <w:r>
        <w:rPr>
          <w:rFonts w:ascii="Arial" w:hAnsi="Arial" w:cs="Arial"/>
          <w:bCs/>
          <w:sz w:val="24"/>
          <w:szCs w:val="24"/>
        </w:rPr>
        <w:t>应该是成熟可靠、技术先进、在国内同类型、同规模</w:t>
      </w:r>
      <w:r>
        <w:rPr>
          <w:rFonts w:hint="eastAsia" w:ascii="Arial" w:hAnsi="Arial" w:cs="Arial"/>
          <w:bCs/>
          <w:sz w:val="24"/>
          <w:szCs w:val="24"/>
        </w:rPr>
        <w:t>、同工况</w:t>
      </w:r>
      <w:r>
        <w:rPr>
          <w:rFonts w:ascii="Arial" w:hAnsi="Arial" w:cs="Arial"/>
          <w:bCs/>
          <w:sz w:val="24"/>
          <w:szCs w:val="24"/>
        </w:rPr>
        <w:t>装置中至少有3处3年以上的应用业绩</w:t>
      </w:r>
      <w:r>
        <w:rPr>
          <w:rFonts w:ascii="宋体" w:hAnsi="宋体" w:eastAsia="宋体" w:cs="宋体"/>
          <w:sz w:val="24"/>
          <w:szCs w:val="24"/>
        </w:rPr>
        <w:t>。（要提供相应合同扫描件）。</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sz w:val="24"/>
          <w:szCs w:val="24"/>
          <w:lang w:eastAsia="zh-CN"/>
        </w:rPr>
      </w:pPr>
      <w:r>
        <w:rPr>
          <w:rFonts w:hint="eastAsia"/>
          <w:color w:val="000000" w:themeColor="text1"/>
          <w:sz w:val="24"/>
          <w:szCs w:val="24"/>
          <w:lang w:eastAsia="zh-CN"/>
        </w:rPr>
        <w:t>4.</w:t>
      </w:r>
      <w:r>
        <w:rPr>
          <w:sz w:val="24"/>
          <w:szCs w:val="24"/>
          <w:lang w:eastAsia="zh-CN"/>
        </w:rPr>
        <w:t xml:space="preserve"> </w:t>
      </w:r>
      <w:r>
        <w:rPr>
          <w:rFonts w:hint="eastAsia"/>
          <w:color w:val="000000"/>
          <w:sz w:val="24"/>
          <w:szCs w:val="24"/>
          <w:lang w:eastAsia="zh-CN"/>
        </w:rPr>
        <w:t>本采购项目不接受联合体参选。</w:t>
      </w:r>
    </w:p>
    <w:p>
      <w:pPr>
        <w:keepNext w:val="0"/>
        <w:keepLines w:val="0"/>
        <w:pageBreakBefore w:val="0"/>
        <w:widowControl w:val="0"/>
        <w:tabs>
          <w:tab w:val="left" w:pos="709"/>
        </w:tabs>
        <w:kinsoku/>
        <w:wordWrap/>
        <w:overflowPunct/>
        <w:topLinePunct w:val="0"/>
        <w:bidi w:val="0"/>
        <w:snapToGrid/>
        <w:spacing w:line="600" w:lineRule="exact"/>
        <w:ind w:firstLine="514" w:firstLineChars="200"/>
        <w:jc w:val="both"/>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2</w:t>
      </w:r>
      <w:r>
        <w:rPr>
          <w:rFonts w:hint="eastAsia"/>
          <w:color w:val="000000" w:themeColor="text1"/>
          <w:sz w:val="24"/>
          <w:szCs w:val="24"/>
          <w:lang w:eastAsia="zh-CN"/>
        </w:rPr>
        <w:t>月</w:t>
      </w:r>
      <w:r>
        <w:rPr>
          <w:rFonts w:hint="eastAsia"/>
          <w:color w:val="000000" w:themeColor="text1"/>
          <w:sz w:val="24"/>
          <w:szCs w:val="24"/>
          <w:lang w:val="en-US" w:eastAsia="zh-CN"/>
        </w:rPr>
        <w:t>21</w:t>
      </w:r>
      <w:r>
        <w:rPr>
          <w:rFonts w:hint="eastAsia"/>
          <w:color w:val="000000" w:themeColor="text1"/>
          <w:sz w:val="24"/>
          <w:szCs w:val="24"/>
          <w:lang w:eastAsia="zh-CN"/>
        </w:rPr>
        <w:t>日至202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3</w:t>
      </w:r>
      <w:r>
        <w:rPr>
          <w:rFonts w:hint="eastAsia"/>
          <w:color w:val="000000" w:themeColor="text1"/>
          <w:sz w:val="24"/>
          <w:szCs w:val="24"/>
          <w:lang w:eastAsia="zh-CN"/>
        </w:rPr>
        <w:t>月</w:t>
      </w:r>
      <w:r>
        <w:rPr>
          <w:rFonts w:hint="eastAsia"/>
          <w:color w:val="000000" w:themeColor="text1"/>
          <w:sz w:val="24"/>
          <w:szCs w:val="24"/>
          <w:lang w:val="en-US" w:eastAsia="zh-CN"/>
        </w:rPr>
        <w:t>2</w:t>
      </w:r>
      <w:r>
        <w:rPr>
          <w:rFonts w:hint="eastAsia"/>
          <w:color w:val="000000" w:themeColor="text1"/>
          <w:sz w:val="24"/>
          <w:szCs w:val="24"/>
          <w:lang w:eastAsia="zh-CN"/>
        </w:rPr>
        <w:t>日（共</w:t>
      </w:r>
      <w:r>
        <w:rPr>
          <w:color w:val="000000" w:themeColor="text1"/>
          <w:sz w:val="24"/>
          <w:szCs w:val="24"/>
          <w:lang w:eastAsia="zh-CN"/>
        </w:rPr>
        <w:t>10</w:t>
      </w:r>
      <w:r>
        <w:rPr>
          <w:rFonts w:hint="eastAsia"/>
          <w:color w:val="000000" w:themeColor="text1"/>
          <w:sz w:val="24"/>
          <w:szCs w:val="24"/>
          <w:lang w:eastAsia="zh-CN"/>
        </w:rPr>
        <w:t>天）</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报名方式：参选人在报名时间内将报名文件发送至邮箱</w:t>
      </w:r>
      <w:r>
        <w:rPr>
          <w:rFonts w:hint="eastAsia"/>
          <w:color w:val="000000" w:themeColor="text1"/>
          <w:sz w:val="24"/>
          <w:szCs w:val="24"/>
          <w:lang w:val="en-US" w:eastAsia="zh-CN"/>
        </w:rPr>
        <w:t>xumx</w:t>
      </w:r>
      <w:r>
        <w:rPr>
          <w:rFonts w:hint="eastAsia"/>
          <w:color w:val="000000" w:themeColor="text1"/>
          <w:sz w:val="24"/>
          <w:szCs w:val="24"/>
          <w:lang w:eastAsia="zh-CN"/>
        </w:rPr>
        <w:t>@fhcpec.com.cn，报名文件包含：</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（1）法定代表人身份证复印件（正反面）（加盖单位公章的扫描件）；</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（2）营业执照（加盖单位公章的扫描件）；</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（3）资质文件及相关业绩(业绩</w:t>
      </w:r>
      <w:r>
        <w:rPr>
          <w:rFonts w:ascii="Arial" w:hAnsi="Arial" w:cs="Arial"/>
          <w:color w:val="111111"/>
          <w:sz w:val="24"/>
          <w:szCs w:val="24"/>
          <w:shd w:val="clear" w:color="auto" w:fill="FFFFFF"/>
          <w:lang w:eastAsia="zh-CN"/>
        </w:rPr>
        <w:t>要提供相应合同扫描件</w:t>
      </w:r>
      <w:r>
        <w:rPr>
          <w:rFonts w:hint="eastAsia" w:ascii="Arial" w:hAnsi="Arial" w:cs="Arial"/>
          <w:color w:val="111111"/>
          <w:sz w:val="24"/>
          <w:szCs w:val="24"/>
          <w:shd w:val="clear" w:color="auto" w:fill="FFFFFF"/>
          <w:lang w:eastAsia="zh-CN"/>
        </w:rPr>
        <w:t>）</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报名成功后，参选人须与现场技术人员进行前期技术交流，需详细阅读比选项目说明，并按照相关要求提供相关方案。技术交流后经比选人技术人员确认合格并签订技术协议书后，参选人方可参与后续比选，未进行报名和技术交流确认，未签订技术协议书的参选人不能参加比选。技术交流及技术协议签订时间暂定为报名截止后15天内完成。</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3</w:t>
      </w:r>
      <w:r>
        <w:rPr>
          <w:color w:val="000000" w:themeColor="text1"/>
          <w:sz w:val="24"/>
          <w:szCs w:val="24"/>
          <w:lang w:eastAsia="zh-CN"/>
        </w:rPr>
        <w:t>.</w:t>
      </w:r>
      <w:r>
        <w:rPr>
          <w:rFonts w:hint="eastAsia"/>
          <w:color w:val="000000" w:themeColor="text1"/>
          <w:sz w:val="24"/>
          <w:szCs w:val="24"/>
          <w:lang w:eastAsia="zh-CN"/>
        </w:rPr>
        <w:t>获取比选文件：本项目比选文件请有意向参选人自行下载，不收取费用。（特别声明：未进行登记报名的参选人，其递交的参选文件将被拒收。）</w:t>
      </w:r>
    </w:p>
    <w:p>
      <w:pPr>
        <w:keepNext w:val="0"/>
        <w:keepLines w:val="0"/>
        <w:pageBreakBefore w:val="0"/>
        <w:widowControl w:val="0"/>
        <w:tabs>
          <w:tab w:val="left" w:pos="709"/>
        </w:tabs>
        <w:kinsoku/>
        <w:wordWrap/>
        <w:overflowPunct/>
        <w:topLinePunct w:val="0"/>
        <w:bidi w:val="0"/>
        <w:snapToGrid/>
        <w:spacing w:line="600" w:lineRule="exact"/>
        <w:ind w:firstLine="514" w:firstLineChars="200"/>
        <w:jc w:val="both"/>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四、参选文件递交要求</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 xml:space="preserve"> 参选文件递交地点：漳州市漳浦县杜浔镇杜昌路9号，福海创办公楼三楼设备及服务团队，收件人：</w:t>
      </w:r>
      <w:r>
        <w:rPr>
          <w:rFonts w:hint="eastAsia"/>
          <w:color w:val="000000" w:themeColor="text1"/>
          <w:sz w:val="24"/>
          <w:szCs w:val="24"/>
          <w:lang w:val="en-US" w:eastAsia="zh-CN"/>
        </w:rPr>
        <w:t>徐明兴</w:t>
      </w:r>
      <w:r>
        <w:rPr>
          <w:rFonts w:hint="eastAsia"/>
          <w:color w:val="000000" w:themeColor="text1"/>
          <w:sz w:val="24"/>
          <w:szCs w:val="24"/>
          <w:lang w:eastAsia="zh-CN"/>
        </w:rPr>
        <w:t xml:space="preserve">  </w:t>
      </w:r>
      <w:r>
        <w:rPr>
          <w:rFonts w:hint="eastAsia"/>
          <w:color w:val="000000" w:themeColor="text1"/>
          <w:sz w:val="24"/>
          <w:szCs w:val="24"/>
          <w:lang w:val="en-US" w:eastAsia="zh-CN"/>
        </w:rPr>
        <w:t>电话：</w:t>
      </w:r>
      <w:r>
        <w:rPr>
          <w:rFonts w:hint="eastAsia"/>
          <w:color w:val="000000" w:themeColor="text1"/>
          <w:sz w:val="24"/>
          <w:szCs w:val="24"/>
          <w:lang w:eastAsia="zh-CN"/>
        </w:rPr>
        <w:t xml:space="preserve"> </w:t>
      </w:r>
      <w:r>
        <w:rPr>
          <w:rFonts w:hint="eastAsia"/>
          <w:color w:val="000000" w:themeColor="text1"/>
          <w:sz w:val="24"/>
          <w:szCs w:val="24"/>
          <w:lang w:val="en-US" w:eastAsia="zh-CN"/>
        </w:rPr>
        <w:t>13779967252</w:t>
      </w:r>
      <w:r>
        <w:rPr>
          <w:rFonts w:hint="eastAsia"/>
          <w:color w:val="000000" w:themeColor="text1"/>
          <w:sz w:val="24"/>
          <w:szCs w:val="24"/>
          <w:lang w:eastAsia="zh-CN"/>
        </w:rPr>
        <w:t>。</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eastAsia="zh-CN"/>
        </w:rPr>
        <w:t xml:space="preserve"> 参选文件递交截止时间（以送达时间为准）：根据技术交流情况，技术合格单位后续统一通知报价。</w:t>
      </w:r>
    </w:p>
    <w:p>
      <w:pPr>
        <w:pStyle w:val="19"/>
        <w:keepNext w:val="0"/>
        <w:keepLines w:val="0"/>
        <w:pageBreakBefore w:val="0"/>
        <w:widowControl w:val="0"/>
        <w:kinsoku/>
        <w:wordWrap/>
        <w:overflowPunct/>
        <w:topLinePunct w:val="0"/>
        <w:bidi w:val="0"/>
        <w:snapToGrid/>
        <w:spacing w:line="600" w:lineRule="exact"/>
        <w:ind w:right="121" w:firstLine="514" w:firstLineChars="200"/>
        <w:jc w:val="both"/>
        <w:rPr>
          <w:b/>
          <w:w w:val="95"/>
          <w:sz w:val="28"/>
          <w:lang w:eastAsia="zh-CN"/>
        </w:rPr>
      </w:pPr>
      <w:r>
        <w:rPr>
          <w:rFonts w:hint="eastAsia"/>
          <w:b/>
          <w:bCs/>
          <w:snapToGrid w:val="0"/>
          <w:color w:val="000000" w:themeColor="text1"/>
          <w:spacing w:val="8"/>
          <w:lang w:eastAsia="zh-CN"/>
        </w:rPr>
        <w:t>五</w:t>
      </w:r>
      <w:r>
        <w:rPr>
          <w:b/>
          <w:w w:val="95"/>
          <w:sz w:val="28"/>
          <w:lang w:eastAsia="zh-CN"/>
        </w:rPr>
        <w:t>、参选保证金</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color w:val="000000" w:themeColor="text1"/>
          <w:lang w:eastAsia="zh-CN"/>
        </w:rPr>
      </w:pPr>
      <w:r>
        <w:rPr>
          <w:rFonts w:hint="eastAsia"/>
          <w:lang w:eastAsia="zh-CN"/>
        </w:rPr>
        <w:t xml:space="preserve"> 1.参选单位应缴纳参选保证金，保证金</w:t>
      </w:r>
      <w:r>
        <w:rPr>
          <w:rFonts w:hint="eastAsia"/>
          <w:color w:val="000000" w:themeColor="text1"/>
          <w:lang w:eastAsia="zh-CN"/>
        </w:rPr>
        <w:t>金额</w:t>
      </w:r>
      <w:r>
        <w:rPr>
          <w:rFonts w:hint="eastAsia"/>
          <w:color w:val="000000" w:themeColor="text1"/>
          <w:lang w:val="en-US" w:eastAsia="zh-CN"/>
        </w:rPr>
        <w:t>1</w:t>
      </w:r>
      <w:r>
        <w:rPr>
          <w:rFonts w:hint="eastAsia"/>
          <w:color w:val="000000" w:themeColor="text1"/>
          <w:lang w:eastAsia="zh-CN"/>
        </w:rPr>
        <w:t>0000元整</w:t>
      </w:r>
      <w:r>
        <w:rPr>
          <w:rFonts w:hint="eastAsia"/>
          <w:lang w:eastAsia="zh-CN"/>
        </w:rPr>
        <w:t>，参选单位应按照要求从参选单位基本</w:t>
      </w:r>
      <w:r>
        <w:rPr>
          <w:rFonts w:hint="eastAsia"/>
          <w:color w:val="000000" w:themeColor="text1"/>
          <w:lang w:eastAsia="zh-CN"/>
        </w:rPr>
        <w:t>账户转入比选单位的账户，比选单位账户信息如下：</w:t>
      </w:r>
    </w:p>
    <w:p>
      <w:pPr>
        <w:keepNext w:val="0"/>
        <w:keepLines w:val="0"/>
        <w:pageBreakBefore w:val="0"/>
        <w:widowControl w:val="0"/>
        <w:kinsoku/>
        <w:wordWrap/>
        <w:overflowPunct/>
        <w:topLinePunct w:val="0"/>
        <w:bidi w:val="0"/>
        <w:snapToGrid/>
        <w:spacing w:beforeLines="0" w:afterLines="0" w:line="600" w:lineRule="exact"/>
        <w:ind w:firstLine="440" w:firstLineChars="200"/>
        <w:jc w:val="both"/>
        <w:rPr>
          <w:rFonts w:ascii="宋体" w:hAnsi="宋体" w:cs="宋体"/>
          <w:snapToGrid w:val="0"/>
          <w:kern w:val="0"/>
          <w:sz w:val="24"/>
          <w:szCs w:val="24"/>
          <w:highlight w:val="none"/>
        </w:rPr>
      </w:pPr>
      <w:r>
        <w:rPr>
          <w:rFonts w:hint="eastAsia"/>
          <w:color w:val="000000" w:themeColor="text1"/>
          <w:lang w:eastAsia="zh-CN"/>
        </w:rPr>
        <w:t xml:space="preserve">  </w:t>
      </w:r>
      <w:r>
        <w:rPr>
          <w:rFonts w:hint="eastAsia" w:ascii="宋体" w:hAnsi="宋体" w:cs="宋体"/>
          <w:snapToGrid w:val="0"/>
          <w:kern w:val="0"/>
          <w:sz w:val="24"/>
          <w:szCs w:val="24"/>
          <w:highlight w:val="none"/>
        </w:rPr>
        <w:t>开户名：福建福海创石油化工有限公司</w:t>
      </w:r>
    </w:p>
    <w:p>
      <w:pPr>
        <w:keepNext w:val="0"/>
        <w:keepLines w:val="0"/>
        <w:pageBreakBefore w:val="0"/>
        <w:widowControl w:val="0"/>
        <w:kinsoku/>
        <w:wordWrap/>
        <w:overflowPunct/>
        <w:topLinePunct w:val="0"/>
        <w:bidi w:val="0"/>
        <w:snapToGrid/>
        <w:spacing w:beforeLines="0" w:afterLines="0" w:line="600" w:lineRule="exact"/>
        <w:ind w:firstLine="480" w:firstLineChars="200"/>
        <w:jc w:val="both"/>
        <w:rPr>
          <w:rFonts w:ascii="宋体" w:hAnsi="宋体" w:cs="宋体"/>
          <w:snapToGrid w:val="0"/>
          <w:kern w:val="0"/>
          <w:sz w:val="24"/>
          <w:szCs w:val="24"/>
          <w:highlight w:val="none"/>
        </w:rPr>
      </w:pPr>
      <w:r>
        <w:rPr>
          <w:rFonts w:hint="eastAsia" w:ascii="宋体" w:hAnsi="宋体" w:cs="宋体"/>
          <w:snapToGrid w:val="0"/>
          <w:kern w:val="0"/>
          <w:sz w:val="24"/>
          <w:szCs w:val="24"/>
          <w:highlight w:val="none"/>
        </w:rPr>
        <w:t xml:space="preserve"> </w:t>
      </w:r>
      <w:r>
        <w:rPr>
          <w:rFonts w:hint="eastAsia" w:cs="宋体"/>
          <w:snapToGrid w:val="0"/>
          <w:kern w:val="0"/>
          <w:sz w:val="24"/>
          <w:szCs w:val="24"/>
          <w:highlight w:val="none"/>
          <w:lang w:val="en-US" w:eastAsia="zh-CN"/>
        </w:rPr>
        <w:t xml:space="preserve"> </w:t>
      </w:r>
      <w:r>
        <w:rPr>
          <w:rFonts w:hint="eastAsia" w:ascii="宋体" w:hAnsi="宋体" w:cs="宋体"/>
          <w:snapToGrid w:val="0"/>
          <w:kern w:val="0"/>
          <w:sz w:val="24"/>
          <w:szCs w:val="24"/>
          <w:highlight w:val="none"/>
        </w:rPr>
        <w:t>开户行：中国银行股份有限公司漳州古雷经济开发区支行</w:t>
      </w:r>
    </w:p>
    <w:p>
      <w:pPr>
        <w:keepNext w:val="0"/>
        <w:keepLines w:val="0"/>
        <w:pageBreakBefore w:val="0"/>
        <w:widowControl w:val="0"/>
        <w:kinsoku/>
        <w:wordWrap/>
        <w:overflowPunct/>
        <w:topLinePunct w:val="0"/>
        <w:bidi w:val="0"/>
        <w:snapToGrid/>
        <w:spacing w:beforeLines="0" w:afterLines="0" w:line="600" w:lineRule="exact"/>
        <w:ind w:firstLine="480" w:firstLineChars="200"/>
        <w:jc w:val="both"/>
        <w:rPr>
          <w:color w:val="000000" w:themeColor="text1"/>
          <w:lang w:eastAsia="zh-CN"/>
        </w:rPr>
      </w:pPr>
      <w:r>
        <w:rPr>
          <w:rFonts w:hint="eastAsia" w:ascii="宋体" w:hAnsi="宋体" w:cs="宋体"/>
          <w:snapToGrid w:val="0"/>
          <w:kern w:val="0"/>
          <w:sz w:val="24"/>
          <w:szCs w:val="24"/>
          <w:highlight w:val="none"/>
        </w:rPr>
        <w:t xml:space="preserve">  开户账户：4065 7481 6628</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color w:val="000000" w:themeColor="text1"/>
          <w:lang w:eastAsia="zh-CN"/>
        </w:rPr>
      </w:pPr>
      <w:r>
        <w:rPr>
          <w:rFonts w:hint="eastAsia"/>
          <w:color w:val="000000" w:themeColor="text1"/>
          <w:lang w:eastAsia="zh-CN"/>
        </w:rPr>
        <w:t xml:space="preserve">    注明用途：仪表团队PV-5403-1/2阀芯阀杆采购项目参选</w:t>
      </w:r>
      <w:r>
        <w:rPr>
          <w:color w:val="000000" w:themeColor="text1"/>
          <w:lang w:eastAsia="zh-CN"/>
        </w:rPr>
        <w:t>保证金</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 xml:space="preserve">    参选保证金有效期：</w:t>
      </w:r>
      <w:r>
        <w:rPr>
          <w:lang w:eastAsia="zh-CN"/>
        </w:rPr>
        <w:t>90</w:t>
      </w:r>
      <w:r>
        <w:rPr>
          <w:rFonts w:hint="eastAsia"/>
          <w:lang w:eastAsia="zh-CN"/>
        </w:rPr>
        <w:t>日历天。</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注：开户许可证上账号应与参选保证金转账回单上账号一致，否则视为未按规定提交参选保证金,所造成的一切后果由参选人自行负责。参选保证金转入后，将相关凭证放在商务比选文件中。</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2.对于未能按要求提交保证金的参选文件，比选单位可以视为不符合上面比选要求而予以拒绝；</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3.比选结束退还未中选者的比选保证金（无息），最迟不超过规定的比选有效期满后的20天；</w:t>
      </w:r>
    </w:p>
    <w:p>
      <w:pPr>
        <w:pStyle w:val="19"/>
        <w:keepNext w:val="0"/>
        <w:keepLines w:val="0"/>
        <w:pageBreakBefore w:val="0"/>
        <w:widowControl w:val="0"/>
        <w:kinsoku/>
        <w:wordWrap/>
        <w:overflowPunct/>
        <w:topLinePunct w:val="0"/>
        <w:bidi w:val="0"/>
        <w:snapToGrid/>
        <w:spacing w:line="600" w:lineRule="exact"/>
        <w:ind w:right="121" w:firstLine="482" w:firstLineChars="200"/>
        <w:jc w:val="both"/>
        <w:rPr>
          <w:color w:val="000000" w:themeColor="text1"/>
          <w:lang w:eastAsia="zh-CN"/>
        </w:rPr>
      </w:pPr>
      <w:r>
        <w:rPr>
          <w:rFonts w:hint="eastAsia"/>
          <w:b/>
          <w:lang w:eastAsia="zh-CN"/>
        </w:rPr>
        <w:t>4.中选者的参选保证金将直接转为履约保证金；</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5.如有下列情况发生，将被没收参选保证金：</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（1）参选单位在参选有效期内撤回参选文件；</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bookmarkStart w:id="0" w:name="_GoBack"/>
      <w:bookmarkEnd w:id="0"/>
      <w:r>
        <w:rPr>
          <w:rFonts w:hint="eastAsia"/>
          <w:lang w:eastAsia="zh-CN"/>
        </w:rPr>
        <w:t>（2）参选单位未能按接到中标通知书后规定的时间内签定合同。</w:t>
      </w:r>
    </w:p>
    <w:p>
      <w:pPr>
        <w:keepNext w:val="0"/>
        <w:keepLines w:val="0"/>
        <w:pageBreakBefore w:val="0"/>
        <w:widowControl w:val="0"/>
        <w:kinsoku/>
        <w:wordWrap/>
        <w:overflowPunct/>
        <w:topLinePunct w:val="0"/>
        <w:bidi w:val="0"/>
        <w:snapToGrid/>
        <w:spacing w:line="600" w:lineRule="exact"/>
        <w:ind w:firstLine="514" w:firstLineChars="200"/>
        <w:jc w:val="both"/>
        <w:rPr>
          <w:sz w:val="24"/>
          <w:szCs w:val="24"/>
          <w:lang w:eastAsia="zh-CN"/>
        </w:rPr>
      </w:pPr>
      <w:r>
        <w:rPr>
          <w:rFonts w:hint="eastAsia"/>
          <w:b/>
          <w:bCs/>
          <w:snapToGrid w:val="0"/>
          <w:color w:val="000000" w:themeColor="text1"/>
          <w:spacing w:val="8"/>
          <w:sz w:val="24"/>
          <w:szCs w:val="24"/>
          <w:lang w:eastAsia="zh-CN"/>
        </w:rPr>
        <w:t>六、联系方式</w:t>
      </w:r>
      <w:r>
        <w:rPr>
          <w:rFonts w:hint="eastAsia"/>
          <w:sz w:val="24"/>
          <w:szCs w:val="24"/>
          <w:lang w:eastAsia="zh-CN"/>
        </w:rPr>
        <w:t xml:space="preserve"> </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商务联系人：</w:t>
      </w:r>
      <w:r>
        <w:rPr>
          <w:rFonts w:hint="eastAsia"/>
          <w:color w:val="000000" w:themeColor="text1"/>
          <w:sz w:val="24"/>
          <w:szCs w:val="24"/>
          <w:lang w:val="en-US" w:eastAsia="zh-CN"/>
        </w:rPr>
        <w:t>徐明兴</w:t>
      </w:r>
      <w:r>
        <w:rPr>
          <w:rFonts w:hint="eastAsia"/>
          <w:color w:val="000000" w:themeColor="text1"/>
          <w:sz w:val="24"/>
          <w:szCs w:val="24"/>
          <w:lang w:eastAsia="zh-CN"/>
        </w:rPr>
        <w:t xml:space="preserve"> 电话：</w:t>
      </w:r>
      <w:r>
        <w:rPr>
          <w:rFonts w:hint="eastAsia"/>
          <w:color w:val="000000" w:themeColor="text1"/>
          <w:sz w:val="24"/>
          <w:szCs w:val="24"/>
          <w:lang w:val="en-US" w:eastAsia="zh-CN"/>
        </w:rPr>
        <w:t>13779967252</w:t>
      </w:r>
      <w:r>
        <w:rPr>
          <w:rFonts w:hint="eastAsia"/>
          <w:color w:val="000000" w:themeColor="text1"/>
          <w:sz w:val="24"/>
          <w:szCs w:val="24"/>
          <w:lang w:eastAsia="zh-CN"/>
        </w:rPr>
        <w:t xml:space="preserve"> 邮箱：</w:t>
      </w:r>
      <w:r>
        <w:rPr>
          <w:rFonts w:hint="eastAsia"/>
          <w:color w:val="000000" w:themeColor="text1"/>
          <w:sz w:val="24"/>
          <w:szCs w:val="24"/>
          <w:lang w:val="en-US" w:eastAsia="zh-CN"/>
        </w:rPr>
        <w:t>xumx</w:t>
      </w:r>
      <w:r>
        <w:rPr>
          <w:rFonts w:hint="eastAsia"/>
          <w:color w:val="000000" w:themeColor="text1"/>
          <w:sz w:val="24"/>
          <w:szCs w:val="24"/>
          <w:lang w:eastAsia="zh-CN"/>
        </w:rPr>
        <w:t>@fhcpec.com.cn</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 xml:space="preserve">纪检监察室电话：0596-6311774  </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联系地址：漳州市漳浦县杜浔镇杜昌路9号</w:t>
      </w:r>
    </w:p>
    <w:p>
      <w:pPr>
        <w:keepNext w:val="0"/>
        <w:keepLines w:val="0"/>
        <w:pageBreakBefore w:val="0"/>
        <w:widowControl w:val="0"/>
        <w:tabs>
          <w:tab w:val="left" w:pos="709"/>
        </w:tabs>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color w:val="000000" w:themeColor="text1"/>
          <w:sz w:val="24"/>
          <w:szCs w:val="24"/>
          <w:lang w:eastAsia="zh-CN"/>
        </w:rPr>
        <w:t>邮    编：363216</w:t>
      </w:r>
    </w:p>
    <w:p>
      <w:pPr>
        <w:keepNext w:val="0"/>
        <w:keepLines w:val="0"/>
        <w:pageBreakBefore w:val="0"/>
        <w:widowControl w:val="0"/>
        <w:kinsoku/>
        <w:wordWrap/>
        <w:overflowPunct/>
        <w:topLinePunct w:val="0"/>
        <w:bidi w:val="0"/>
        <w:snapToGrid/>
        <w:spacing w:line="600" w:lineRule="exact"/>
        <w:ind w:firstLine="480" w:firstLineChars="200"/>
        <w:jc w:val="both"/>
        <w:rPr>
          <w:sz w:val="24"/>
          <w:szCs w:val="24"/>
          <w:lang w:eastAsia="zh-CN"/>
        </w:rPr>
      </w:pPr>
    </w:p>
    <w:p>
      <w:pPr>
        <w:keepNext w:val="0"/>
        <w:keepLines w:val="0"/>
        <w:pageBreakBefore w:val="0"/>
        <w:widowControl w:val="0"/>
        <w:kinsoku/>
        <w:wordWrap/>
        <w:overflowPunct/>
        <w:topLinePunct w:val="0"/>
        <w:bidi w:val="0"/>
        <w:snapToGrid/>
        <w:spacing w:line="600" w:lineRule="exact"/>
        <w:ind w:firstLine="480" w:firstLineChars="200"/>
        <w:jc w:val="both"/>
        <w:rPr>
          <w:sz w:val="24"/>
          <w:szCs w:val="24"/>
          <w:lang w:eastAsia="zh-CN"/>
        </w:rPr>
      </w:pPr>
      <w:r>
        <w:rPr>
          <w:rFonts w:hint="eastAsia"/>
          <w:sz w:val="24"/>
          <w:szCs w:val="24"/>
          <w:lang w:eastAsia="zh-CN"/>
        </w:rPr>
        <w:t xml:space="preserve">                                           福建福海创石油化工有限公司 </w:t>
      </w:r>
    </w:p>
    <w:p>
      <w:pPr>
        <w:keepNext w:val="0"/>
        <w:keepLines w:val="0"/>
        <w:pageBreakBefore w:val="0"/>
        <w:widowControl w:val="0"/>
        <w:kinsoku/>
        <w:wordWrap/>
        <w:overflowPunct/>
        <w:topLinePunct w:val="0"/>
        <w:bidi w:val="0"/>
        <w:snapToGrid/>
        <w:spacing w:line="600" w:lineRule="exact"/>
        <w:ind w:firstLine="480" w:firstLineChars="200"/>
        <w:jc w:val="both"/>
        <w:rPr>
          <w:color w:val="000000" w:themeColor="text1"/>
          <w:sz w:val="24"/>
          <w:szCs w:val="24"/>
          <w:lang w:eastAsia="zh-CN"/>
        </w:rPr>
      </w:pPr>
      <w:r>
        <w:rPr>
          <w:rFonts w:hint="eastAsia"/>
          <w:sz w:val="24"/>
          <w:szCs w:val="24"/>
          <w:lang w:eastAsia="zh-CN"/>
        </w:rPr>
        <w:t xml:space="preserve">                                                </w:t>
      </w:r>
      <w:r>
        <w:rPr>
          <w:rFonts w:hint="eastAsia"/>
          <w:color w:val="000000" w:themeColor="text1"/>
          <w:sz w:val="24"/>
          <w:szCs w:val="24"/>
          <w:lang w:eastAsia="zh-CN"/>
        </w:rPr>
        <w:t xml:space="preserve">  </w:t>
      </w:r>
      <w:r>
        <w:rPr>
          <w:color w:val="000000" w:themeColor="text1"/>
          <w:sz w:val="24"/>
          <w:szCs w:val="24"/>
          <w:lang w:eastAsia="zh-CN"/>
        </w:rPr>
        <w:t>202</w:t>
      </w:r>
      <w:r>
        <w:rPr>
          <w:rFonts w:hint="eastAsia"/>
          <w:color w:val="000000" w:themeColor="text1"/>
          <w:sz w:val="24"/>
          <w:szCs w:val="24"/>
          <w:lang w:val="en-US" w:eastAsia="zh-CN"/>
        </w:rPr>
        <w:t>3</w:t>
      </w:r>
      <w:r>
        <w:rPr>
          <w:rFonts w:hint="eastAsia"/>
          <w:color w:val="000000" w:themeColor="text1"/>
          <w:sz w:val="24"/>
          <w:szCs w:val="24"/>
          <w:lang w:eastAsia="zh-CN"/>
        </w:rPr>
        <w:t>年</w:t>
      </w:r>
      <w:r>
        <w:rPr>
          <w:rFonts w:hint="eastAsia"/>
          <w:color w:val="000000" w:themeColor="text1"/>
          <w:sz w:val="24"/>
          <w:szCs w:val="24"/>
          <w:lang w:val="en-US" w:eastAsia="zh-CN"/>
        </w:rPr>
        <w:t>2</w:t>
      </w:r>
      <w:r>
        <w:rPr>
          <w:rFonts w:hint="eastAsia"/>
          <w:color w:val="000000" w:themeColor="text1"/>
          <w:sz w:val="24"/>
          <w:szCs w:val="24"/>
          <w:lang w:eastAsia="zh-CN"/>
        </w:rPr>
        <w:t>月</w:t>
      </w:r>
      <w:r>
        <w:rPr>
          <w:rFonts w:hint="eastAsia"/>
          <w:color w:val="000000" w:themeColor="text1"/>
          <w:sz w:val="24"/>
          <w:szCs w:val="24"/>
          <w:lang w:val="en-US" w:eastAsia="zh-CN"/>
        </w:rPr>
        <w:t>20</w:t>
      </w:r>
      <w:r>
        <w:rPr>
          <w:rFonts w:hint="eastAsia"/>
          <w:color w:val="000000" w:themeColor="text1"/>
          <w:sz w:val="24"/>
          <w:szCs w:val="24"/>
          <w:lang w:eastAsia="zh-CN"/>
        </w:rPr>
        <w:t>日</w:t>
      </w:r>
    </w:p>
    <w:p>
      <w:pPr>
        <w:pStyle w:val="55"/>
        <w:keepNext w:val="0"/>
        <w:keepLines w:val="0"/>
        <w:pageBreakBefore w:val="0"/>
        <w:widowControl w:val="0"/>
        <w:kinsoku/>
        <w:wordWrap/>
        <w:overflowPunct/>
        <w:topLinePunct w:val="0"/>
        <w:bidi w:val="0"/>
        <w:snapToGrid/>
        <w:spacing w:line="600" w:lineRule="exact"/>
        <w:ind w:firstLine="680" w:firstLineChars="200"/>
        <w:jc w:val="both"/>
        <w:sectPr>
          <w:footerReference r:id="rId3" w:type="default"/>
          <w:pgSz w:w="11910" w:h="16840"/>
          <w:pgMar w:top="1500" w:right="1020" w:bottom="740" w:left="1300" w:header="0" w:footer="551" w:gutter="0"/>
          <w:cols w:space="720" w:num="1"/>
        </w:sectPr>
      </w:pPr>
    </w:p>
    <w:p>
      <w:pPr>
        <w:pStyle w:val="2"/>
        <w:keepNext w:val="0"/>
        <w:keepLines w:val="0"/>
        <w:pageBreakBefore w:val="0"/>
        <w:widowControl w:val="0"/>
        <w:tabs>
          <w:tab w:val="left" w:pos="1488"/>
        </w:tabs>
        <w:kinsoku/>
        <w:wordWrap/>
        <w:overflowPunct/>
        <w:topLinePunct w:val="0"/>
        <w:bidi w:val="0"/>
        <w:snapToGrid/>
        <w:spacing w:line="600" w:lineRule="exact"/>
        <w:ind w:left="0" w:leftChars="0" w:firstLine="562" w:firstLineChars="200"/>
        <w:jc w:val="both"/>
        <w:rPr>
          <w:lang w:eastAsia="zh-CN"/>
        </w:rPr>
      </w:pPr>
      <w:r>
        <w:rPr>
          <w:lang w:eastAsia="zh-CN"/>
        </w:rPr>
        <w:tab/>
      </w:r>
      <w:r>
        <w:rPr>
          <w:rFonts w:hint="eastAsia"/>
          <w:lang w:val="en-US" w:eastAsia="zh-CN"/>
        </w:rPr>
        <w:t xml:space="preserve">                 </w:t>
      </w:r>
      <w:r>
        <w:rPr>
          <w:spacing w:val="-1"/>
          <w:w w:val="95"/>
          <w:lang w:eastAsia="zh-CN"/>
        </w:rPr>
        <w:t>评比规</w:t>
      </w:r>
      <w:r>
        <w:rPr>
          <w:w w:val="95"/>
          <w:lang w:eastAsia="zh-CN"/>
        </w:rPr>
        <w:t>则</w:t>
      </w:r>
    </w:p>
    <w:p>
      <w:pPr>
        <w:keepNext w:val="0"/>
        <w:keepLines w:val="0"/>
        <w:pageBreakBefore w:val="0"/>
        <w:widowControl w:val="0"/>
        <w:kinsoku/>
        <w:wordWrap/>
        <w:overflowPunct/>
        <w:topLinePunct w:val="0"/>
        <w:bidi w:val="0"/>
        <w:snapToGrid/>
        <w:spacing w:before="15" w:line="600" w:lineRule="exact"/>
        <w:ind w:firstLine="534" w:firstLineChars="200"/>
        <w:jc w:val="both"/>
        <w:rPr>
          <w:b/>
          <w:w w:val="95"/>
          <w:sz w:val="28"/>
          <w:lang w:eastAsia="zh-CN"/>
        </w:rPr>
      </w:pPr>
      <w:r>
        <w:rPr>
          <w:b/>
          <w:w w:val="95"/>
          <w:sz w:val="28"/>
          <w:lang w:eastAsia="zh-CN"/>
        </w:rPr>
        <w:t>一、规则</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1.比选人在评选时，将</w:t>
      </w:r>
      <w:r>
        <w:rPr>
          <w:rFonts w:hint="eastAsia"/>
          <w:lang w:eastAsia="zh-CN"/>
        </w:rPr>
        <w:t>优先对技术参选文件进行评选，技术参选文件符合业主要求方可进行下一轮商务报价评选。</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2.参选人串选、相互勾结故意压低标价以排挤竞争对手的公平竞争的，其参选无效。</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3.替补候选人的设定与使用：在合同签订前，比选单位发现参选人的参选报价或供货范围有缺漏、实际应标产品或服务存在重大偏差、或参选材料存在欺诈行为时、或参选人因不可抗力或自身原因不能履行合同的，将有理由取消中选人资格，保留依法追究的权利；并将依法确定排名第二名的中选候选人为本项目的中选人。</w:t>
      </w:r>
    </w:p>
    <w:p>
      <w:pPr>
        <w:keepNext w:val="0"/>
        <w:keepLines w:val="0"/>
        <w:pageBreakBefore w:val="0"/>
        <w:widowControl w:val="0"/>
        <w:kinsoku/>
        <w:wordWrap/>
        <w:overflowPunct/>
        <w:topLinePunct w:val="0"/>
        <w:bidi w:val="0"/>
        <w:snapToGrid/>
        <w:spacing w:before="15" w:line="600" w:lineRule="exact"/>
        <w:ind w:firstLine="534" w:firstLineChars="200"/>
        <w:jc w:val="both"/>
        <w:rPr>
          <w:b/>
          <w:w w:val="95"/>
          <w:sz w:val="28"/>
          <w:lang w:eastAsia="zh-CN"/>
        </w:rPr>
      </w:pPr>
      <w:r>
        <w:rPr>
          <w:b/>
          <w:w w:val="95"/>
          <w:sz w:val="28"/>
          <w:lang w:eastAsia="zh-CN"/>
        </w:rPr>
        <w:t>二、资格审查</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由比选人依法组建的评选委员会将按照第二章比选须知第六点“参选人资格”的要求对参选人进行资格审查，以确定是否为符合比选文件规定要求的合格参选人，同时，评选委员会将依据参选人提供的资格证明文件审查参选人的法人资格、营业范围、财务，以确定参选人是否有资格履行合同。经上述资格审查合格的参选人进入下一程序的评审，经上述资格审查不合格的参选文件，其参选资格将被评选委员会予以否决。</w:t>
      </w:r>
    </w:p>
    <w:p>
      <w:pPr>
        <w:keepNext w:val="0"/>
        <w:keepLines w:val="0"/>
        <w:pageBreakBefore w:val="0"/>
        <w:widowControl w:val="0"/>
        <w:kinsoku/>
        <w:wordWrap/>
        <w:overflowPunct/>
        <w:topLinePunct w:val="0"/>
        <w:bidi w:val="0"/>
        <w:snapToGrid/>
        <w:spacing w:before="15" w:line="600" w:lineRule="exact"/>
        <w:ind w:firstLine="534" w:firstLineChars="200"/>
        <w:jc w:val="both"/>
        <w:rPr>
          <w:b/>
          <w:w w:val="95"/>
          <w:sz w:val="28"/>
          <w:lang w:eastAsia="zh-CN"/>
        </w:rPr>
      </w:pPr>
      <w:r>
        <w:rPr>
          <w:b/>
          <w:w w:val="95"/>
          <w:sz w:val="28"/>
          <w:lang w:eastAsia="zh-CN"/>
        </w:rPr>
        <w:t>三、评选办法</w:t>
      </w:r>
    </w:p>
    <w:p>
      <w:pPr>
        <w:pStyle w:val="19"/>
        <w:keepNext w:val="0"/>
        <w:keepLines w:val="0"/>
        <w:pageBreakBefore w:val="0"/>
        <w:widowControl w:val="0"/>
        <w:kinsoku/>
        <w:wordWrap/>
        <w:overflowPunct/>
        <w:topLinePunct w:val="0"/>
        <w:bidi w:val="0"/>
        <w:snapToGrid/>
        <w:spacing w:line="600" w:lineRule="exact"/>
        <w:ind w:right="121" w:firstLine="482" w:firstLineChars="200"/>
        <w:jc w:val="both"/>
        <w:rPr>
          <w:lang w:eastAsia="zh-CN"/>
        </w:rPr>
      </w:pPr>
      <w:r>
        <w:rPr>
          <w:rFonts w:hint="eastAsia"/>
          <w:b/>
          <w:color w:val="FF0000"/>
          <w:lang w:eastAsia="zh-CN"/>
        </w:rPr>
        <w:t>本项目设置最高控制价</w:t>
      </w:r>
      <w:r>
        <w:rPr>
          <w:rFonts w:hint="eastAsia"/>
          <w:b/>
          <w:color w:val="FF0000"/>
          <w:lang w:val="en-US" w:eastAsia="zh-CN"/>
        </w:rPr>
        <w:t>41.81</w:t>
      </w:r>
      <w:r>
        <w:rPr>
          <w:rFonts w:hint="eastAsia"/>
          <w:b/>
          <w:color w:val="FF0000"/>
          <w:lang w:eastAsia="zh-CN"/>
        </w:rPr>
        <w:t>万元整（含税</w:t>
      </w:r>
      <w:r>
        <w:rPr>
          <w:rFonts w:hint="eastAsia"/>
          <w:b/>
          <w:color w:val="FF0000"/>
          <w:lang w:val="en-US" w:eastAsia="zh-CN"/>
        </w:rPr>
        <w:t>13%</w:t>
      </w:r>
      <w:r>
        <w:rPr>
          <w:rFonts w:hint="eastAsia"/>
          <w:b/>
          <w:color w:val="FF0000"/>
          <w:lang w:eastAsia="zh-CN"/>
        </w:rPr>
        <w:t>包干总价）</w:t>
      </w:r>
      <w:r>
        <w:rPr>
          <w:rFonts w:hint="eastAsia"/>
          <w:lang w:eastAsia="zh-CN"/>
        </w:rPr>
        <w:t>。参选人所填报的报价高于本项目最高限价的，其参选将被比选小组予以否决。</w:t>
      </w:r>
      <w:r>
        <w:fldChar w:fldCharType="begin"/>
      </w:r>
      <w:r>
        <w:instrText xml:space="preserve"> HYPERLINK "mailto:如参选人对控制价存疑请于报价截止前发邮件至xqyang@fhcpec.com.cn" </w:instrText>
      </w:r>
      <w:r>
        <w:fldChar w:fldCharType="separate"/>
      </w:r>
      <w:r>
        <w:rPr>
          <w:rStyle w:val="53"/>
          <w:rFonts w:hint="eastAsia"/>
          <w:lang w:eastAsia="zh-CN"/>
        </w:rPr>
        <w:t>如参选人对控制价存疑请于报价截止前发邮件至</w:t>
      </w:r>
      <w:r>
        <w:rPr>
          <w:rStyle w:val="53"/>
          <w:rFonts w:hint="eastAsia"/>
          <w:lang w:val="en-US" w:eastAsia="zh-CN"/>
        </w:rPr>
        <w:t>xumx</w:t>
      </w:r>
      <w:r>
        <w:rPr>
          <w:rStyle w:val="53"/>
          <w:rFonts w:hint="eastAsia"/>
          <w:lang w:eastAsia="zh-CN"/>
        </w:rPr>
        <w:t>@fhcpec.com.cn</w:t>
      </w:r>
      <w:r>
        <w:rPr>
          <w:rStyle w:val="53"/>
          <w:rFonts w:hint="eastAsia"/>
          <w:lang w:eastAsia="zh-CN"/>
        </w:rPr>
        <w:fldChar w:fldCharType="end"/>
      </w:r>
      <w:r>
        <w:rPr>
          <w:rFonts w:hint="eastAsia"/>
          <w:lang w:eastAsia="zh-CN"/>
        </w:rPr>
        <w:t>。</w:t>
      </w:r>
    </w:p>
    <w:p>
      <w:pPr>
        <w:keepNext w:val="0"/>
        <w:keepLines w:val="0"/>
        <w:pageBreakBefore w:val="0"/>
        <w:widowControl w:val="0"/>
        <w:kinsoku/>
        <w:wordWrap/>
        <w:overflowPunct/>
        <w:topLinePunct w:val="0"/>
        <w:bidi w:val="0"/>
        <w:snapToGrid/>
        <w:spacing w:before="15" w:line="600" w:lineRule="exact"/>
        <w:ind w:firstLine="480" w:firstLineChars="200"/>
        <w:jc w:val="both"/>
        <w:rPr>
          <w:color w:val="000000"/>
          <w:sz w:val="24"/>
          <w:szCs w:val="24"/>
          <w:shd w:val="clear" w:color="auto" w:fill="FFFFFF"/>
          <w:lang w:eastAsia="zh-CN"/>
        </w:rPr>
      </w:pPr>
      <w:r>
        <w:rPr>
          <w:rFonts w:hint="eastAsia"/>
          <w:color w:val="000000"/>
          <w:sz w:val="24"/>
          <w:szCs w:val="24"/>
          <w:shd w:val="clear" w:color="auto" w:fill="FFFFFF"/>
          <w:lang w:eastAsia="zh-CN"/>
        </w:rPr>
        <w:t>采用商务报价决标评选的方式，从价格和付款方式两方面进行评选，满足</w:t>
      </w:r>
    </w:p>
    <w:p>
      <w:pPr>
        <w:keepNext w:val="0"/>
        <w:keepLines w:val="0"/>
        <w:pageBreakBefore w:val="0"/>
        <w:widowControl w:val="0"/>
        <w:kinsoku/>
        <w:wordWrap/>
        <w:overflowPunct/>
        <w:topLinePunct w:val="0"/>
        <w:bidi w:val="0"/>
        <w:snapToGrid/>
        <w:spacing w:before="15" w:line="600" w:lineRule="exact"/>
        <w:ind w:firstLine="480" w:firstLineChars="200"/>
        <w:jc w:val="both"/>
        <w:rPr>
          <w:color w:val="000000"/>
          <w:sz w:val="24"/>
          <w:szCs w:val="24"/>
          <w:shd w:val="clear" w:color="auto" w:fill="FFFFFF"/>
          <w:lang w:eastAsia="zh-CN"/>
        </w:rPr>
      </w:pPr>
      <w:r>
        <w:rPr>
          <w:rFonts w:hint="eastAsia"/>
          <w:color w:val="000000"/>
          <w:sz w:val="24"/>
          <w:szCs w:val="24"/>
          <w:shd w:val="clear" w:color="auto" w:fill="FFFFFF"/>
          <w:lang w:eastAsia="zh-CN"/>
        </w:rPr>
        <w:t>（1）付款条件：货到验收合格付90%，留10%质保；</w:t>
      </w:r>
    </w:p>
    <w:p>
      <w:pPr>
        <w:keepNext w:val="0"/>
        <w:keepLines w:val="0"/>
        <w:pageBreakBefore w:val="0"/>
        <w:widowControl w:val="0"/>
        <w:kinsoku/>
        <w:wordWrap/>
        <w:overflowPunct/>
        <w:topLinePunct w:val="0"/>
        <w:bidi w:val="0"/>
        <w:snapToGrid/>
        <w:spacing w:before="15" w:line="600" w:lineRule="exact"/>
        <w:ind w:firstLine="480" w:firstLineChars="200"/>
        <w:jc w:val="both"/>
        <w:rPr>
          <w:color w:val="000000"/>
          <w:sz w:val="24"/>
          <w:szCs w:val="24"/>
          <w:shd w:val="clear" w:color="auto" w:fill="FFFFFF"/>
          <w:lang w:eastAsia="zh-CN"/>
        </w:rPr>
      </w:pPr>
      <w:r>
        <w:rPr>
          <w:rFonts w:hint="eastAsia"/>
          <w:color w:val="000000"/>
          <w:sz w:val="24"/>
          <w:szCs w:val="24"/>
          <w:shd w:val="clear" w:color="auto" w:fill="FFFFFF"/>
          <w:lang w:eastAsia="zh-CN"/>
        </w:rPr>
        <w:t>（2）</w:t>
      </w:r>
      <w:r>
        <w:rPr>
          <w:rFonts w:hint="eastAsia"/>
          <w:color w:val="000000"/>
          <w:sz w:val="24"/>
          <w:szCs w:val="24"/>
          <w:shd w:val="clear" w:color="auto" w:fill="FFFFFF"/>
          <w:lang w:val="en-US" w:eastAsia="zh-CN"/>
        </w:rPr>
        <w:t>未税</w:t>
      </w:r>
      <w:r>
        <w:rPr>
          <w:rFonts w:hint="eastAsia"/>
          <w:color w:val="000000"/>
          <w:sz w:val="24"/>
          <w:szCs w:val="24"/>
          <w:shd w:val="clear" w:color="auto" w:fill="FFFFFF"/>
          <w:lang w:eastAsia="zh-CN"/>
        </w:rPr>
        <w:t>总价最低者作为第一中选人，以此类推。</w:t>
      </w:r>
    </w:p>
    <w:p>
      <w:pPr>
        <w:keepNext w:val="0"/>
        <w:keepLines w:val="0"/>
        <w:pageBreakBefore w:val="0"/>
        <w:widowControl w:val="0"/>
        <w:kinsoku/>
        <w:wordWrap/>
        <w:overflowPunct/>
        <w:topLinePunct w:val="0"/>
        <w:bidi w:val="0"/>
        <w:snapToGrid/>
        <w:spacing w:before="15" w:line="600" w:lineRule="exact"/>
        <w:ind w:firstLine="534" w:firstLineChars="200"/>
        <w:jc w:val="both"/>
        <w:rPr>
          <w:b/>
          <w:w w:val="95"/>
          <w:sz w:val="28"/>
          <w:lang w:eastAsia="zh-CN"/>
        </w:rPr>
      </w:pPr>
      <w:r>
        <w:rPr>
          <w:b/>
          <w:w w:val="95"/>
          <w:sz w:val="28"/>
          <w:lang w:eastAsia="zh-CN"/>
        </w:rPr>
        <w:t>四、以下情况作废选处理</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1.对比选文件提出的实质性要求和条件，参选文件未能在实质上响应的。</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2.参选文件存在重大偏差的。</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3</w:t>
      </w:r>
      <w:r>
        <w:rPr>
          <w:lang w:eastAsia="zh-CN"/>
        </w:rPr>
        <w:t>.违反规定影响开选评选工作或采取其他方式对比选人施加影响的。</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4</w:t>
      </w:r>
      <w:r>
        <w:rPr>
          <w:lang w:eastAsia="zh-CN"/>
        </w:rPr>
        <w:t>.参选人串标、相互勾结故意压低标价以排挤竞争对手的公平竞争的，其参选无效。</w:t>
      </w:r>
    </w:p>
    <w:p>
      <w:pPr>
        <w:keepNext w:val="0"/>
        <w:keepLines w:val="0"/>
        <w:pageBreakBefore w:val="0"/>
        <w:widowControl w:val="0"/>
        <w:kinsoku/>
        <w:wordWrap/>
        <w:overflowPunct/>
        <w:topLinePunct w:val="0"/>
        <w:bidi w:val="0"/>
        <w:snapToGrid/>
        <w:spacing w:before="15" w:line="600" w:lineRule="exact"/>
        <w:ind w:firstLine="534" w:firstLineChars="200"/>
        <w:jc w:val="both"/>
        <w:rPr>
          <w:b/>
          <w:w w:val="95"/>
          <w:sz w:val="28"/>
          <w:lang w:eastAsia="zh-CN"/>
        </w:rPr>
      </w:pPr>
      <w:r>
        <w:rPr>
          <w:b/>
          <w:w w:val="95"/>
          <w:sz w:val="28"/>
          <w:lang w:eastAsia="zh-CN"/>
        </w:rPr>
        <w:t>五、评选</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1.比选人将在参选文件截止日期后另行择日组织比选会，参选人选定工作在比选人有关部门监督下，由比选人依法组建的评选委员会负责。</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2.在开选时没有启封和读出的参选文件，在评选时将不予考虑。</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3.比选人将做开选记录。</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rFonts w:hint="eastAsia"/>
          <w:lang w:eastAsia="zh-CN"/>
        </w:rPr>
        <w:t>4.业主将根据评选结果与中选人签订合同。</w:t>
      </w:r>
    </w:p>
    <w:p>
      <w:pPr>
        <w:keepNext w:val="0"/>
        <w:keepLines w:val="0"/>
        <w:pageBreakBefore w:val="0"/>
        <w:widowControl w:val="0"/>
        <w:kinsoku/>
        <w:wordWrap/>
        <w:overflowPunct/>
        <w:topLinePunct w:val="0"/>
        <w:bidi w:val="0"/>
        <w:snapToGrid/>
        <w:spacing w:line="600" w:lineRule="exact"/>
        <w:ind w:firstLine="440" w:firstLineChars="200"/>
        <w:jc w:val="both"/>
        <w:rPr>
          <w:lang w:eastAsia="zh-CN"/>
        </w:rPr>
      </w:pPr>
    </w:p>
    <w:p>
      <w:pPr>
        <w:keepNext w:val="0"/>
        <w:keepLines w:val="0"/>
        <w:pageBreakBefore w:val="0"/>
        <w:widowControl w:val="0"/>
        <w:kinsoku/>
        <w:wordWrap/>
        <w:overflowPunct/>
        <w:topLinePunct w:val="0"/>
        <w:bidi w:val="0"/>
        <w:snapToGrid/>
        <w:spacing w:before="15" w:line="600" w:lineRule="exact"/>
        <w:ind w:firstLine="534" w:firstLineChars="200"/>
        <w:jc w:val="both"/>
        <w:rPr>
          <w:b/>
          <w:w w:val="95"/>
          <w:sz w:val="28"/>
          <w:lang w:eastAsia="zh-CN"/>
        </w:rPr>
      </w:pPr>
      <w:r>
        <w:rPr>
          <w:b/>
          <w:w w:val="95"/>
          <w:sz w:val="28"/>
          <w:lang w:eastAsia="zh-CN"/>
        </w:rPr>
        <w:t>第五章  合同授予</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1.比选人将把合同授予中选人；在授予前，仍需进行资格审查。</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2.中选人确定后，比选将通知中选人，并将中选结果公示在比选人官网。</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3.中选通知对比选人和参选人具有法律效力。</w:t>
      </w:r>
      <w:r>
        <w:rPr>
          <w:rStyle w:val="49"/>
          <w:rFonts w:hint="eastAsia"/>
          <w:color w:val="FF0000"/>
          <w:lang w:eastAsia="zh-CN"/>
        </w:rPr>
        <w:t>福建福海创石油化工有限公司指定由</w:t>
      </w:r>
      <w:r>
        <w:rPr>
          <w:rStyle w:val="49"/>
          <w:color w:val="FF0000"/>
          <w:lang w:eastAsia="zh-CN"/>
        </w:rPr>
        <w:t>其</w:t>
      </w:r>
      <w:r>
        <w:rPr>
          <w:rStyle w:val="49"/>
          <w:rFonts w:hint="eastAsia"/>
          <w:color w:val="FF0000"/>
          <w:lang w:eastAsia="zh-CN"/>
        </w:rPr>
        <w:t>权属子公司</w:t>
      </w:r>
      <w:r>
        <w:rPr>
          <w:rStyle w:val="49"/>
          <w:rFonts w:hint="eastAsia" w:ascii="Times New Roman" w:hAnsi="Times New Roman" w:cs="Times New Roman"/>
          <w:color w:val="FF0000"/>
          <w:lang w:eastAsia="zh-CN"/>
        </w:rPr>
        <w:t>“翔鹭石化（漳州）有限公司”作</w:t>
      </w:r>
      <w:r>
        <w:rPr>
          <w:rStyle w:val="49"/>
          <w:rFonts w:hint="eastAsia"/>
          <w:color w:val="FF0000"/>
          <w:lang w:eastAsia="zh-CN"/>
        </w:rPr>
        <w:t>为本合同执行主体，将于中选结果公示流程结束之日起30日内与中选人完成合同签订事宜</w:t>
      </w:r>
      <w:r>
        <w:rPr>
          <w:color w:val="FF0000"/>
          <w:lang w:eastAsia="zh-CN"/>
        </w:rPr>
        <w:t>。</w:t>
      </w:r>
      <w:r>
        <w:rPr>
          <w:lang w:eastAsia="zh-CN"/>
        </w:rPr>
        <w:t>若因中选单位原因未在规定的时间和地点与比选人签署合同，比选人有权单方取消中选单位的资格。同时，由此给比选人造成的损失，比选人有权追究中选单位的全部责任。</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4.中选人签署合同后必须履行合同要求。若因中选单位原因未在规定的时间内完成相关设计</w:t>
      </w:r>
      <w:r>
        <w:rPr>
          <w:rFonts w:hint="eastAsia"/>
          <w:lang w:eastAsia="zh-CN"/>
        </w:rPr>
        <w:t>、</w:t>
      </w:r>
      <w:r>
        <w:rPr>
          <w:lang w:eastAsia="zh-CN"/>
        </w:rPr>
        <w:t>图纸提供等工作，则比选人有权单方面取消中选单位的资格。并取消参选人三年内在比选人的业务中的参选资格，由此给比选人造成的损失，比选人有权追究中选方的全部责任。</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5.比选文件与合同附件作为签订合同的条款，比选文件合同条款中没有规定的内容， 比选人、参选人认为有必要进行补充，可另行商定解决。</w:t>
      </w:r>
    </w:p>
    <w:p>
      <w:pPr>
        <w:pStyle w:val="19"/>
        <w:keepNext w:val="0"/>
        <w:keepLines w:val="0"/>
        <w:pageBreakBefore w:val="0"/>
        <w:widowControl w:val="0"/>
        <w:kinsoku/>
        <w:wordWrap/>
        <w:overflowPunct/>
        <w:topLinePunct w:val="0"/>
        <w:bidi w:val="0"/>
        <w:snapToGrid/>
        <w:spacing w:line="600" w:lineRule="exact"/>
        <w:ind w:right="121" w:firstLine="480" w:firstLineChars="200"/>
        <w:jc w:val="both"/>
        <w:rPr>
          <w:lang w:eastAsia="zh-CN"/>
        </w:rPr>
      </w:pPr>
      <w:r>
        <w:rPr>
          <w:lang w:eastAsia="zh-CN"/>
        </w:rPr>
        <w:t>6.接受和拒绝任何或所有参选的权利：比选机构和比选人保留在授标之前任何时候接受或拒绝任何比选，以及宣布比选程序无效或拒绝所有参选的权利，对受影响的参选人不承担任何责任。</w:t>
      </w:r>
    </w:p>
    <w:p>
      <w:pPr>
        <w:spacing w:line="360" w:lineRule="auto"/>
        <w:jc w:val="both"/>
        <w:rPr>
          <w:lang w:eastAsia="zh-CN"/>
        </w:rPr>
      </w:pPr>
    </w:p>
    <w:p>
      <w:pPr>
        <w:ind w:firstLine="560" w:firstLineChars="200"/>
        <w:rPr>
          <w:sz w:val="28"/>
          <w:u w:val="single"/>
          <w:lang w:eastAsia="zh-CN"/>
        </w:rPr>
      </w:pPr>
    </w:p>
    <w:sectPr>
      <w:footerReference r:id="rId4"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0000000000000000000"/>
    <w:charset w:val="86"/>
    <w:family w:val="auto"/>
    <w:pitch w:val="default"/>
    <w:sig w:usb0="00000000" w:usb1="00000000" w:usb2="00000000" w:usb3="00000000" w:csb0="00040000"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900821"/>
    </w:sdtPr>
    <w:sdtContent>
      <w:sdt>
        <w:sdtPr>
          <w:id w:val="2119642350"/>
        </w:sdtPr>
        <w:sdtContent>
          <w:p>
            <w:pPr>
              <w:pStyle w:val="29"/>
              <w:jc w:val="cente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27</w:t>
            </w:r>
            <w:r>
              <w:rPr>
                <w:b/>
                <w:bCs/>
                <w:sz w:val="24"/>
                <w:szCs w:val="24"/>
              </w:rPr>
              <w:fldChar w:fldCharType="end"/>
            </w:r>
          </w:p>
        </w:sdtContent>
      </w:sdt>
    </w:sdtContent>
  </w:sdt>
  <w:p>
    <w:pPr>
      <w:pStyle w:val="1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3371223"/>
    </w:sdtPr>
    <w:sdtContent>
      <w:p>
        <w:pPr>
          <w:pStyle w:val="29"/>
          <w:jc w:val="center"/>
        </w:pPr>
        <w:r>
          <w:fldChar w:fldCharType="begin"/>
        </w:r>
        <w:r>
          <w:instrText xml:space="preserve">PAGE   \* MERGEFORMAT</w:instrText>
        </w:r>
        <w:r>
          <w:fldChar w:fldCharType="separate"/>
        </w:r>
        <w:r>
          <w:rPr>
            <w:lang w:val="zh-CN" w:eastAsia="zh-CN"/>
          </w:rPr>
          <w:t>26</w:t>
        </w:r>
        <w:r>
          <w:fldChar w:fldCharType="end"/>
        </w:r>
      </w:p>
    </w:sdtContent>
  </w:sdt>
  <w:p>
    <w:pPr>
      <w:pStyle w:val="19"/>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5"/>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4"/>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2">
    <w:nsid w:val="30014EE9"/>
    <w:multiLevelType w:val="multilevel"/>
    <w:tmpl w:val="30014EE9"/>
    <w:lvl w:ilvl="0" w:tentative="0">
      <w:start w:val="1"/>
      <w:numFmt w:val="upperLetter"/>
      <w:pStyle w:val="136"/>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3">
    <w:nsid w:val="3A451854"/>
    <w:multiLevelType w:val="multilevel"/>
    <w:tmpl w:val="3A451854"/>
    <w:lvl w:ilvl="0" w:tentative="0">
      <w:start w:val="1"/>
      <w:numFmt w:val="chineseCountingThousand"/>
      <w:pStyle w:val="181"/>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2"/>
      <w:lvlText w:val="第%2节"/>
      <w:lvlJc w:val="left"/>
      <w:pPr>
        <w:tabs>
          <w:tab w:val="left" w:pos="992"/>
        </w:tabs>
        <w:ind w:left="0" w:firstLine="0"/>
      </w:pPr>
      <w:rPr>
        <w:rFonts w:hint="eastAsia" w:ascii="宋体" w:eastAsia="宋体"/>
        <w:b/>
        <w:i w:val="0"/>
        <w:sz w:val="30"/>
        <w:szCs w:val="30"/>
      </w:rPr>
    </w:lvl>
    <w:lvl w:ilvl="2" w:tentative="0">
      <w:start w:val="1"/>
      <w:numFmt w:val="decimal"/>
      <w:pStyle w:val="183"/>
      <w:lvlText w:val="%3"/>
      <w:lvlJc w:val="left"/>
      <w:pPr>
        <w:tabs>
          <w:tab w:val="left" w:pos="567"/>
        </w:tabs>
        <w:ind w:left="0" w:firstLine="0"/>
      </w:pPr>
      <w:rPr>
        <w:rFonts w:hint="eastAsia" w:ascii="宋体" w:eastAsia="宋体"/>
        <w:b/>
        <w:i w:val="0"/>
        <w:sz w:val="24"/>
        <w:szCs w:val="24"/>
      </w:rPr>
    </w:lvl>
    <w:lvl w:ilvl="3" w:tentative="0">
      <w:start w:val="1"/>
      <w:numFmt w:val="decimal"/>
      <w:pStyle w:val="184"/>
      <w:lvlText w:val="%3.%4"/>
      <w:lvlJc w:val="left"/>
      <w:pPr>
        <w:tabs>
          <w:tab w:val="left" w:pos="737"/>
        </w:tabs>
        <w:ind w:left="0" w:firstLine="284"/>
      </w:pPr>
      <w:rPr>
        <w:rFonts w:hint="eastAsia" w:ascii="宋体" w:eastAsia="宋体"/>
        <w:b/>
        <w:i w:val="0"/>
        <w:sz w:val="24"/>
        <w:szCs w:val="24"/>
      </w:rPr>
    </w:lvl>
    <w:lvl w:ilvl="4" w:tentative="0">
      <w:start w:val="1"/>
      <w:numFmt w:val="decimal"/>
      <w:pStyle w:val="185"/>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6"/>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4">
    <w:nsid w:val="5A241D34"/>
    <w:multiLevelType w:val="multilevel"/>
    <w:tmpl w:val="5A241D34"/>
    <w:lvl w:ilvl="0" w:tentative="0">
      <w:start w:val="1"/>
      <w:numFmt w:val="decimal"/>
      <w:pStyle w:val="14"/>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5">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4"/>
  </w:num>
  <w:num w:numId="2">
    <w:abstractNumId w:val="0"/>
  </w:num>
  <w:num w:numId="3">
    <w:abstractNumId w:val="1"/>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GYwZDdhODNlMmM3NjQ3OGUyNjYwYTRmNmIzZTYzMjQifQ=="/>
  </w:docVars>
  <w:rsids>
    <w:rsidRoot w:val="00967702"/>
    <w:rsid w:val="000004E6"/>
    <w:rsid w:val="000010FA"/>
    <w:rsid w:val="00001416"/>
    <w:rsid w:val="000034C1"/>
    <w:rsid w:val="00004C5E"/>
    <w:rsid w:val="00025717"/>
    <w:rsid w:val="000277D1"/>
    <w:rsid w:val="000367ED"/>
    <w:rsid w:val="00037D7F"/>
    <w:rsid w:val="00052C0E"/>
    <w:rsid w:val="00053AFA"/>
    <w:rsid w:val="00055F7B"/>
    <w:rsid w:val="00057E4C"/>
    <w:rsid w:val="000600D0"/>
    <w:rsid w:val="00060DB7"/>
    <w:rsid w:val="00065E22"/>
    <w:rsid w:val="000674E3"/>
    <w:rsid w:val="00074760"/>
    <w:rsid w:val="00074EAF"/>
    <w:rsid w:val="00085CA2"/>
    <w:rsid w:val="00092243"/>
    <w:rsid w:val="0009500D"/>
    <w:rsid w:val="000962C0"/>
    <w:rsid w:val="000A1C86"/>
    <w:rsid w:val="000A6182"/>
    <w:rsid w:val="000B0914"/>
    <w:rsid w:val="000B2F35"/>
    <w:rsid w:val="000C1FAD"/>
    <w:rsid w:val="000C57EB"/>
    <w:rsid w:val="000C629C"/>
    <w:rsid w:val="000D1175"/>
    <w:rsid w:val="000D1503"/>
    <w:rsid w:val="000D1AB8"/>
    <w:rsid w:val="000D35CF"/>
    <w:rsid w:val="000D51F3"/>
    <w:rsid w:val="000E505B"/>
    <w:rsid w:val="000F116F"/>
    <w:rsid w:val="000F15E9"/>
    <w:rsid w:val="000F27AD"/>
    <w:rsid w:val="000F39C1"/>
    <w:rsid w:val="000F4255"/>
    <w:rsid w:val="00101100"/>
    <w:rsid w:val="0011079D"/>
    <w:rsid w:val="00111D19"/>
    <w:rsid w:val="00112B7E"/>
    <w:rsid w:val="001150C5"/>
    <w:rsid w:val="00122E24"/>
    <w:rsid w:val="0012681B"/>
    <w:rsid w:val="00130886"/>
    <w:rsid w:val="00135AC9"/>
    <w:rsid w:val="00142384"/>
    <w:rsid w:val="001427F4"/>
    <w:rsid w:val="00142830"/>
    <w:rsid w:val="00146977"/>
    <w:rsid w:val="001507FD"/>
    <w:rsid w:val="00150CB0"/>
    <w:rsid w:val="00154D53"/>
    <w:rsid w:val="00154EB4"/>
    <w:rsid w:val="00164170"/>
    <w:rsid w:val="001660AB"/>
    <w:rsid w:val="0017327B"/>
    <w:rsid w:val="00177E03"/>
    <w:rsid w:val="0018116F"/>
    <w:rsid w:val="00182B0E"/>
    <w:rsid w:val="00185C58"/>
    <w:rsid w:val="001861E4"/>
    <w:rsid w:val="00192465"/>
    <w:rsid w:val="00193470"/>
    <w:rsid w:val="00193817"/>
    <w:rsid w:val="00195D79"/>
    <w:rsid w:val="001A6EE7"/>
    <w:rsid w:val="001B07AA"/>
    <w:rsid w:val="001B5CD4"/>
    <w:rsid w:val="001B698B"/>
    <w:rsid w:val="001C0DB4"/>
    <w:rsid w:val="001C3DDE"/>
    <w:rsid w:val="001C5843"/>
    <w:rsid w:val="001D13DE"/>
    <w:rsid w:val="001E3C0E"/>
    <w:rsid w:val="001E5BEC"/>
    <w:rsid w:val="001F3956"/>
    <w:rsid w:val="001F3D0A"/>
    <w:rsid w:val="00200CED"/>
    <w:rsid w:val="0020141D"/>
    <w:rsid w:val="00210B50"/>
    <w:rsid w:val="00222EE5"/>
    <w:rsid w:val="00227556"/>
    <w:rsid w:val="002305DA"/>
    <w:rsid w:val="002318C1"/>
    <w:rsid w:val="00233571"/>
    <w:rsid w:val="002336A1"/>
    <w:rsid w:val="00241E6B"/>
    <w:rsid w:val="00242301"/>
    <w:rsid w:val="002427A9"/>
    <w:rsid w:val="002431E7"/>
    <w:rsid w:val="002451B2"/>
    <w:rsid w:val="0024625A"/>
    <w:rsid w:val="0025699E"/>
    <w:rsid w:val="002578E6"/>
    <w:rsid w:val="00263085"/>
    <w:rsid w:val="002648A2"/>
    <w:rsid w:val="00270CE4"/>
    <w:rsid w:val="00273DCB"/>
    <w:rsid w:val="002855A5"/>
    <w:rsid w:val="002859D4"/>
    <w:rsid w:val="00285F4F"/>
    <w:rsid w:val="00287A75"/>
    <w:rsid w:val="00290ADB"/>
    <w:rsid w:val="00290B7A"/>
    <w:rsid w:val="002971E6"/>
    <w:rsid w:val="002A4126"/>
    <w:rsid w:val="002A68F0"/>
    <w:rsid w:val="002B042F"/>
    <w:rsid w:val="002B3B47"/>
    <w:rsid w:val="002B6416"/>
    <w:rsid w:val="002C6A2D"/>
    <w:rsid w:val="002D4CF8"/>
    <w:rsid w:val="002E0F0C"/>
    <w:rsid w:val="002E3036"/>
    <w:rsid w:val="002E49DF"/>
    <w:rsid w:val="002E4DB0"/>
    <w:rsid w:val="002E6175"/>
    <w:rsid w:val="002F34BA"/>
    <w:rsid w:val="002F6800"/>
    <w:rsid w:val="002F755A"/>
    <w:rsid w:val="003053B9"/>
    <w:rsid w:val="003102D1"/>
    <w:rsid w:val="003221F4"/>
    <w:rsid w:val="00322502"/>
    <w:rsid w:val="00322549"/>
    <w:rsid w:val="003302EE"/>
    <w:rsid w:val="00331810"/>
    <w:rsid w:val="0033277A"/>
    <w:rsid w:val="003344D9"/>
    <w:rsid w:val="003355C7"/>
    <w:rsid w:val="00342B24"/>
    <w:rsid w:val="003456D2"/>
    <w:rsid w:val="00347C37"/>
    <w:rsid w:val="00350BD1"/>
    <w:rsid w:val="00351BB3"/>
    <w:rsid w:val="003603CD"/>
    <w:rsid w:val="003635DF"/>
    <w:rsid w:val="00364EB1"/>
    <w:rsid w:val="00365CCD"/>
    <w:rsid w:val="00373697"/>
    <w:rsid w:val="00376FF9"/>
    <w:rsid w:val="00383DFA"/>
    <w:rsid w:val="00383FD8"/>
    <w:rsid w:val="00385474"/>
    <w:rsid w:val="00387574"/>
    <w:rsid w:val="00392040"/>
    <w:rsid w:val="0039324B"/>
    <w:rsid w:val="003A16AE"/>
    <w:rsid w:val="003B3C4F"/>
    <w:rsid w:val="003B3F6B"/>
    <w:rsid w:val="003B6804"/>
    <w:rsid w:val="003B7CBD"/>
    <w:rsid w:val="003C1AF2"/>
    <w:rsid w:val="003E37C1"/>
    <w:rsid w:val="003E422E"/>
    <w:rsid w:val="003F3600"/>
    <w:rsid w:val="003F5B96"/>
    <w:rsid w:val="003F614D"/>
    <w:rsid w:val="003F6A6B"/>
    <w:rsid w:val="004022EC"/>
    <w:rsid w:val="0040417A"/>
    <w:rsid w:val="00405092"/>
    <w:rsid w:val="00407E93"/>
    <w:rsid w:val="00410C69"/>
    <w:rsid w:val="0041197D"/>
    <w:rsid w:val="00413501"/>
    <w:rsid w:val="00420DB7"/>
    <w:rsid w:val="00432036"/>
    <w:rsid w:val="00437706"/>
    <w:rsid w:val="00437CA2"/>
    <w:rsid w:val="0046376D"/>
    <w:rsid w:val="00465443"/>
    <w:rsid w:val="00465D19"/>
    <w:rsid w:val="0047282D"/>
    <w:rsid w:val="0047402F"/>
    <w:rsid w:val="00481DEF"/>
    <w:rsid w:val="00482DD6"/>
    <w:rsid w:val="004835AF"/>
    <w:rsid w:val="00490A62"/>
    <w:rsid w:val="0049126B"/>
    <w:rsid w:val="00492D04"/>
    <w:rsid w:val="004941B1"/>
    <w:rsid w:val="00494C07"/>
    <w:rsid w:val="004A13AF"/>
    <w:rsid w:val="004A46AD"/>
    <w:rsid w:val="004A498D"/>
    <w:rsid w:val="004C16AE"/>
    <w:rsid w:val="004C4B54"/>
    <w:rsid w:val="004D6A19"/>
    <w:rsid w:val="00500D74"/>
    <w:rsid w:val="00505560"/>
    <w:rsid w:val="00513D5D"/>
    <w:rsid w:val="00514AFE"/>
    <w:rsid w:val="00533119"/>
    <w:rsid w:val="005339E0"/>
    <w:rsid w:val="005345C8"/>
    <w:rsid w:val="005369F4"/>
    <w:rsid w:val="0054092C"/>
    <w:rsid w:val="00547AD0"/>
    <w:rsid w:val="005518F3"/>
    <w:rsid w:val="00555E59"/>
    <w:rsid w:val="00564136"/>
    <w:rsid w:val="00565CF8"/>
    <w:rsid w:val="00574DAE"/>
    <w:rsid w:val="0057705C"/>
    <w:rsid w:val="00581B11"/>
    <w:rsid w:val="0058671D"/>
    <w:rsid w:val="00593DEA"/>
    <w:rsid w:val="00595F8F"/>
    <w:rsid w:val="005A4D52"/>
    <w:rsid w:val="005B4BA0"/>
    <w:rsid w:val="005B6211"/>
    <w:rsid w:val="005C6A76"/>
    <w:rsid w:val="005D5BB2"/>
    <w:rsid w:val="005E2211"/>
    <w:rsid w:val="005E2CFD"/>
    <w:rsid w:val="005E2EB3"/>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47AA3"/>
    <w:rsid w:val="0065429C"/>
    <w:rsid w:val="00662C51"/>
    <w:rsid w:val="006631EB"/>
    <w:rsid w:val="00663FF4"/>
    <w:rsid w:val="00664A57"/>
    <w:rsid w:val="00664E56"/>
    <w:rsid w:val="0067747B"/>
    <w:rsid w:val="00684001"/>
    <w:rsid w:val="0068543C"/>
    <w:rsid w:val="006940F9"/>
    <w:rsid w:val="00694FFE"/>
    <w:rsid w:val="006A232A"/>
    <w:rsid w:val="006A79DD"/>
    <w:rsid w:val="006A7D0D"/>
    <w:rsid w:val="006A7EA8"/>
    <w:rsid w:val="006B17F7"/>
    <w:rsid w:val="006B21C2"/>
    <w:rsid w:val="006B3CB3"/>
    <w:rsid w:val="006B4F7B"/>
    <w:rsid w:val="006B5CDC"/>
    <w:rsid w:val="006B5E39"/>
    <w:rsid w:val="006B79D7"/>
    <w:rsid w:val="006C1395"/>
    <w:rsid w:val="006C3A25"/>
    <w:rsid w:val="006C775E"/>
    <w:rsid w:val="006D4F96"/>
    <w:rsid w:val="006D6EE0"/>
    <w:rsid w:val="006E0A7C"/>
    <w:rsid w:val="006E0FCB"/>
    <w:rsid w:val="006E25FB"/>
    <w:rsid w:val="006E3B36"/>
    <w:rsid w:val="006E6D55"/>
    <w:rsid w:val="006F0262"/>
    <w:rsid w:val="006F3EAD"/>
    <w:rsid w:val="0070006F"/>
    <w:rsid w:val="00701816"/>
    <w:rsid w:val="00701DE6"/>
    <w:rsid w:val="0070392A"/>
    <w:rsid w:val="007072CB"/>
    <w:rsid w:val="0071080A"/>
    <w:rsid w:val="00711047"/>
    <w:rsid w:val="00713C5D"/>
    <w:rsid w:val="00714008"/>
    <w:rsid w:val="00714DA2"/>
    <w:rsid w:val="0071512F"/>
    <w:rsid w:val="0071545F"/>
    <w:rsid w:val="007279F5"/>
    <w:rsid w:val="00732878"/>
    <w:rsid w:val="00732ED8"/>
    <w:rsid w:val="00733A20"/>
    <w:rsid w:val="0073742A"/>
    <w:rsid w:val="007422CA"/>
    <w:rsid w:val="00745001"/>
    <w:rsid w:val="00745779"/>
    <w:rsid w:val="00746DBA"/>
    <w:rsid w:val="00751B1E"/>
    <w:rsid w:val="00753C0F"/>
    <w:rsid w:val="007540CE"/>
    <w:rsid w:val="00755E15"/>
    <w:rsid w:val="007601EF"/>
    <w:rsid w:val="00760373"/>
    <w:rsid w:val="007619B1"/>
    <w:rsid w:val="00786BE0"/>
    <w:rsid w:val="00794F72"/>
    <w:rsid w:val="00795740"/>
    <w:rsid w:val="007B7828"/>
    <w:rsid w:val="007C2B12"/>
    <w:rsid w:val="007C6297"/>
    <w:rsid w:val="007C7F5F"/>
    <w:rsid w:val="007D17EF"/>
    <w:rsid w:val="007D2272"/>
    <w:rsid w:val="007D2D34"/>
    <w:rsid w:val="007D5A7E"/>
    <w:rsid w:val="007D5F37"/>
    <w:rsid w:val="007D6D04"/>
    <w:rsid w:val="007D7FCA"/>
    <w:rsid w:val="007E208C"/>
    <w:rsid w:val="007E67FB"/>
    <w:rsid w:val="007E6CD1"/>
    <w:rsid w:val="007F06B2"/>
    <w:rsid w:val="007F3EB5"/>
    <w:rsid w:val="007F61D0"/>
    <w:rsid w:val="007F78F1"/>
    <w:rsid w:val="00803D71"/>
    <w:rsid w:val="00804A52"/>
    <w:rsid w:val="00804C93"/>
    <w:rsid w:val="00811DBA"/>
    <w:rsid w:val="008263B0"/>
    <w:rsid w:val="00826D77"/>
    <w:rsid w:val="008279D0"/>
    <w:rsid w:val="008367BA"/>
    <w:rsid w:val="0084007B"/>
    <w:rsid w:val="00840870"/>
    <w:rsid w:val="008433A6"/>
    <w:rsid w:val="0085290F"/>
    <w:rsid w:val="00855428"/>
    <w:rsid w:val="00856CF7"/>
    <w:rsid w:val="00856E19"/>
    <w:rsid w:val="008622DD"/>
    <w:rsid w:val="00862896"/>
    <w:rsid w:val="008725C6"/>
    <w:rsid w:val="00876586"/>
    <w:rsid w:val="00881942"/>
    <w:rsid w:val="00885D5E"/>
    <w:rsid w:val="00892A2A"/>
    <w:rsid w:val="00895AAC"/>
    <w:rsid w:val="008A20B3"/>
    <w:rsid w:val="008A28CB"/>
    <w:rsid w:val="008B4179"/>
    <w:rsid w:val="008C03C3"/>
    <w:rsid w:val="008E1769"/>
    <w:rsid w:val="008E1F3F"/>
    <w:rsid w:val="008E2155"/>
    <w:rsid w:val="008E5198"/>
    <w:rsid w:val="008F239D"/>
    <w:rsid w:val="008F3559"/>
    <w:rsid w:val="009032FB"/>
    <w:rsid w:val="00915CA6"/>
    <w:rsid w:val="00917368"/>
    <w:rsid w:val="009235B3"/>
    <w:rsid w:val="00930487"/>
    <w:rsid w:val="009312CA"/>
    <w:rsid w:val="009353D9"/>
    <w:rsid w:val="00937414"/>
    <w:rsid w:val="00952F8D"/>
    <w:rsid w:val="00955A6F"/>
    <w:rsid w:val="00964F96"/>
    <w:rsid w:val="009663D1"/>
    <w:rsid w:val="00967702"/>
    <w:rsid w:val="00971BD1"/>
    <w:rsid w:val="00974883"/>
    <w:rsid w:val="00975EAC"/>
    <w:rsid w:val="00977F9C"/>
    <w:rsid w:val="00986280"/>
    <w:rsid w:val="009873FF"/>
    <w:rsid w:val="009928C9"/>
    <w:rsid w:val="00992DC8"/>
    <w:rsid w:val="00995F84"/>
    <w:rsid w:val="0099730F"/>
    <w:rsid w:val="009A5EA2"/>
    <w:rsid w:val="009A6FD0"/>
    <w:rsid w:val="009B054A"/>
    <w:rsid w:val="009B2858"/>
    <w:rsid w:val="009B2DE5"/>
    <w:rsid w:val="009B34B8"/>
    <w:rsid w:val="009D49AE"/>
    <w:rsid w:val="009D501D"/>
    <w:rsid w:val="009D7449"/>
    <w:rsid w:val="009E1058"/>
    <w:rsid w:val="009F0778"/>
    <w:rsid w:val="009F3E44"/>
    <w:rsid w:val="009F6299"/>
    <w:rsid w:val="00A149E5"/>
    <w:rsid w:val="00A153FC"/>
    <w:rsid w:val="00A2542D"/>
    <w:rsid w:val="00A278D7"/>
    <w:rsid w:val="00A27C29"/>
    <w:rsid w:val="00A33603"/>
    <w:rsid w:val="00A367C8"/>
    <w:rsid w:val="00A37693"/>
    <w:rsid w:val="00A45CA3"/>
    <w:rsid w:val="00A45F18"/>
    <w:rsid w:val="00A614C8"/>
    <w:rsid w:val="00A62247"/>
    <w:rsid w:val="00A6610B"/>
    <w:rsid w:val="00A70480"/>
    <w:rsid w:val="00A7270C"/>
    <w:rsid w:val="00A82B0B"/>
    <w:rsid w:val="00A878E0"/>
    <w:rsid w:val="00A87B9C"/>
    <w:rsid w:val="00A9577B"/>
    <w:rsid w:val="00A9762D"/>
    <w:rsid w:val="00A97BAC"/>
    <w:rsid w:val="00AB4B33"/>
    <w:rsid w:val="00AB4D58"/>
    <w:rsid w:val="00AB520D"/>
    <w:rsid w:val="00AB5916"/>
    <w:rsid w:val="00AB6E37"/>
    <w:rsid w:val="00AB77FF"/>
    <w:rsid w:val="00AC3CFE"/>
    <w:rsid w:val="00AC470D"/>
    <w:rsid w:val="00AC7F0D"/>
    <w:rsid w:val="00AD0858"/>
    <w:rsid w:val="00AD202A"/>
    <w:rsid w:val="00AD24EC"/>
    <w:rsid w:val="00AD258E"/>
    <w:rsid w:val="00AD4DAF"/>
    <w:rsid w:val="00AD66E2"/>
    <w:rsid w:val="00AF42BA"/>
    <w:rsid w:val="00AF45D7"/>
    <w:rsid w:val="00AF5870"/>
    <w:rsid w:val="00B04CA6"/>
    <w:rsid w:val="00B101F1"/>
    <w:rsid w:val="00B135AA"/>
    <w:rsid w:val="00B17438"/>
    <w:rsid w:val="00B2137B"/>
    <w:rsid w:val="00B3047D"/>
    <w:rsid w:val="00B31994"/>
    <w:rsid w:val="00B33D45"/>
    <w:rsid w:val="00B36554"/>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4E15"/>
    <w:rsid w:val="00BA5C95"/>
    <w:rsid w:val="00BA76D8"/>
    <w:rsid w:val="00BB028C"/>
    <w:rsid w:val="00BB56DE"/>
    <w:rsid w:val="00BB7676"/>
    <w:rsid w:val="00BB7853"/>
    <w:rsid w:val="00BC11B8"/>
    <w:rsid w:val="00BC1268"/>
    <w:rsid w:val="00BD5816"/>
    <w:rsid w:val="00BD607C"/>
    <w:rsid w:val="00BD77D8"/>
    <w:rsid w:val="00BF0B81"/>
    <w:rsid w:val="00BF0BA0"/>
    <w:rsid w:val="00BF1841"/>
    <w:rsid w:val="00BF1A08"/>
    <w:rsid w:val="00BF524A"/>
    <w:rsid w:val="00BF71FC"/>
    <w:rsid w:val="00C04D6E"/>
    <w:rsid w:val="00C05D72"/>
    <w:rsid w:val="00C074CA"/>
    <w:rsid w:val="00C10DC9"/>
    <w:rsid w:val="00C13082"/>
    <w:rsid w:val="00C13286"/>
    <w:rsid w:val="00C14D2D"/>
    <w:rsid w:val="00C1753E"/>
    <w:rsid w:val="00C20605"/>
    <w:rsid w:val="00C257AE"/>
    <w:rsid w:val="00C267A5"/>
    <w:rsid w:val="00C31D86"/>
    <w:rsid w:val="00C36CCA"/>
    <w:rsid w:val="00C41EDF"/>
    <w:rsid w:val="00C518F0"/>
    <w:rsid w:val="00C5267D"/>
    <w:rsid w:val="00C53E9A"/>
    <w:rsid w:val="00C6183F"/>
    <w:rsid w:val="00C6491F"/>
    <w:rsid w:val="00C71916"/>
    <w:rsid w:val="00C76112"/>
    <w:rsid w:val="00C8060B"/>
    <w:rsid w:val="00C85C83"/>
    <w:rsid w:val="00C864FC"/>
    <w:rsid w:val="00C8727A"/>
    <w:rsid w:val="00C913CE"/>
    <w:rsid w:val="00C92DBD"/>
    <w:rsid w:val="00C93BEF"/>
    <w:rsid w:val="00CA54A9"/>
    <w:rsid w:val="00CB2E01"/>
    <w:rsid w:val="00CB3440"/>
    <w:rsid w:val="00CB5372"/>
    <w:rsid w:val="00CC294A"/>
    <w:rsid w:val="00CC6798"/>
    <w:rsid w:val="00CD371C"/>
    <w:rsid w:val="00CD3723"/>
    <w:rsid w:val="00CD623F"/>
    <w:rsid w:val="00CD7E0C"/>
    <w:rsid w:val="00CE2DB4"/>
    <w:rsid w:val="00CE411C"/>
    <w:rsid w:val="00CE591F"/>
    <w:rsid w:val="00CF173B"/>
    <w:rsid w:val="00CF40A1"/>
    <w:rsid w:val="00D00137"/>
    <w:rsid w:val="00D033EB"/>
    <w:rsid w:val="00D0533F"/>
    <w:rsid w:val="00D10EC7"/>
    <w:rsid w:val="00D14D07"/>
    <w:rsid w:val="00D20FBB"/>
    <w:rsid w:val="00D265B9"/>
    <w:rsid w:val="00D328B1"/>
    <w:rsid w:val="00D33933"/>
    <w:rsid w:val="00D33CA0"/>
    <w:rsid w:val="00D3426F"/>
    <w:rsid w:val="00D439E4"/>
    <w:rsid w:val="00D4446E"/>
    <w:rsid w:val="00D463C4"/>
    <w:rsid w:val="00D4666F"/>
    <w:rsid w:val="00D47881"/>
    <w:rsid w:val="00D5281B"/>
    <w:rsid w:val="00D54A67"/>
    <w:rsid w:val="00D571F8"/>
    <w:rsid w:val="00D60D83"/>
    <w:rsid w:val="00D627B1"/>
    <w:rsid w:val="00D62BDB"/>
    <w:rsid w:val="00D64110"/>
    <w:rsid w:val="00D64BE9"/>
    <w:rsid w:val="00D6778D"/>
    <w:rsid w:val="00D67F61"/>
    <w:rsid w:val="00D70AEA"/>
    <w:rsid w:val="00D70F88"/>
    <w:rsid w:val="00D728BD"/>
    <w:rsid w:val="00D73C0E"/>
    <w:rsid w:val="00D749CB"/>
    <w:rsid w:val="00D7766D"/>
    <w:rsid w:val="00D84B38"/>
    <w:rsid w:val="00D86664"/>
    <w:rsid w:val="00D87834"/>
    <w:rsid w:val="00D913F7"/>
    <w:rsid w:val="00D92871"/>
    <w:rsid w:val="00D947D8"/>
    <w:rsid w:val="00D957A8"/>
    <w:rsid w:val="00D96DE6"/>
    <w:rsid w:val="00D9778F"/>
    <w:rsid w:val="00DA5752"/>
    <w:rsid w:val="00DA7F1E"/>
    <w:rsid w:val="00DB0348"/>
    <w:rsid w:val="00DD3B90"/>
    <w:rsid w:val="00DD56C2"/>
    <w:rsid w:val="00DD73F9"/>
    <w:rsid w:val="00DE0812"/>
    <w:rsid w:val="00DE1B99"/>
    <w:rsid w:val="00DE63EC"/>
    <w:rsid w:val="00DF35F4"/>
    <w:rsid w:val="00DF41E5"/>
    <w:rsid w:val="00DF463A"/>
    <w:rsid w:val="00DF71FF"/>
    <w:rsid w:val="00E00780"/>
    <w:rsid w:val="00E068F1"/>
    <w:rsid w:val="00E12E5B"/>
    <w:rsid w:val="00E13875"/>
    <w:rsid w:val="00E155F5"/>
    <w:rsid w:val="00E21054"/>
    <w:rsid w:val="00E3205C"/>
    <w:rsid w:val="00E32325"/>
    <w:rsid w:val="00E35382"/>
    <w:rsid w:val="00E37D62"/>
    <w:rsid w:val="00E410EA"/>
    <w:rsid w:val="00E457C1"/>
    <w:rsid w:val="00E50F7B"/>
    <w:rsid w:val="00E53B7B"/>
    <w:rsid w:val="00E56799"/>
    <w:rsid w:val="00E6494A"/>
    <w:rsid w:val="00E70964"/>
    <w:rsid w:val="00E739AE"/>
    <w:rsid w:val="00E80BDD"/>
    <w:rsid w:val="00E85991"/>
    <w:rsid w:val="00E93446"/>
    <w:rsid w:val="00E94724"/>
    <w:rsid w:val="00E975FE"/>
    <w:rsid w:val="00E97CE7"/>
    <w:rsid w:val="00EA5A6E"/>
    <w:rsid w:val="00EC4D7E"/>
    <w:rsid w:val="00EC50D4"/>
    <w:rsid w:val="00EC5462"/>
    <w:rsid w:val="00ED19AE"/>
    <w:rsid w:val="00ED20C8"/>
    <w:rsid w:val="00ED2C9E"/>
    <w:rsid w:val="00ED4FC5"/>
    <w:rsid w:val="00EF1FCA"/>
    <w:rsid w:val="00EF5762"/>
    <w:rsid w:val="00EF6FC7"/>
    <w:rsid w:val="00EF7961"/>
    <w:rsid w:val="00F024A8"/>
    <w:rsid w:val="00F04BFC"/>
    <w:rsid w:val="00F04FCE"/>
    <w:rsid w:val="00F076B3"/>
    <w:rsid w:val="00F10B09"/>
    <w:rsid w:val="00F115FB"/>
    <w:rsid w:val="00F11707"/>
    <w:rsid w:val="00F17C03"/>
    <w:rsid w:val="00F17FFC"/>
    <w:rsid w:val="00F2580C"/>
    <w:rsid w:val="00F264D9"/>
    <w:rsid w:val="00F33B6B"/>
    <w:rsid w:val="00F37425"/>
    <w:rsid w:val="00F418B2"/>
    <w:rsid w:val="00F43F82"/>
    <w:rsid w:val="00F51F3C"/>
    <w:rsid w:val="00F53D9C"/>
    <w:rsid w:val="00F5592F"/>
    <w:rsid w:val="00F6409E"/>
    <w:rsid w:val="00F67332"/>
    <w:rsid w:val="00F73211"/>
    <w:rsid w:val="00F77283"/>
    <w:rsid w:val="00F772C3"/>
    <w:rsid w:val="00F80338"/>
    <w:rsid w:val="00F81A93"/>
    <w:rsid w:val="00F84F93"/>
    <w:rsid w:val="00F8501D"/>
    <w:rsid w:val="00FA12B9"/>
    <w:rsid w:val="00FA78C0"/>
    <w:rsid w:val="00FB0C70"/>
    <w:rsid w:val="00FB7A38"/>
    <w:rsid w:val="00FC6A22"/>
    <w:rsid w:val="00FD0D54"/>
    <w:rsid w:val="00FD1B14"/>
    <w:rsid w:val="00FD1DC9"/>
    <w:rsid w:val="00FD29D5"/>
    <w:rsid w:val="00FE65F9"/>
    <w:rsid w:val="00FF49E8"/>
    <w:rsid w:val="00FF5F83"/>
    <w:rsid w:val="0367315B"/>
    <w:rsid w:val="039452D6"/>
    <w:rsid w:val="061139E5"/>
    <w:rsid w:val="06F50B00"/>
    <w:rsid w:val="076E1278"/>
    <w:rsid w:val="087D5A4F"/>
    <w:rsid w:val="08D1141D"/>
    <w:rsid w:val="0B296DE2"/>
    <w:rsid w:val="0D0126E0"/>
    <w:rsid w:val="0FB5725B"/>
    <w:rsid w:val="10294AA3"/>
    <w:rsid w:val="10E40CA0"/>
    <w:rsid w:val="136130D9"/>
    <w:rsid w:val="13805E8A"/>
    <w:rsid w:val="14762538"/>
    <w:rsid w:val="15800409"/>
    <w:rsid w:val="173600E6"/>
    <w:rsid w:val="18DD4F7E"/>
    <w:rsid w:val="195B58A2"/>
    <w:rsid w:val="1989465C"/>
    <w:rsid w:val="1B6947A7"/>
    <w:rsid w:val="1E085A14"/>
    <w:rsid w:val="1E6D485C"/>
    <w:rsid w:val="1FF43DDB"/>
    <w:rsid w:val="21933AA2"/>
    <w:rsid w:val="21C33019"/>
    <w:rsid w:val="25BF356F"/>
    <w:rsid w:val="25DB0C2D"/>
    <w:rsid w:val="267F6210"/>
    <w:rsid w:val="269469E7"/>
    <w:rsid w:val="26EF5299"/>
    <w:rsid w:val="27EE0826"/>
    <w:rsid w:val="29663EB6"/>
    <w:rsid w:val="2998140D"/>
    <w:rsid w:val="29FC3B14"/>
    <w:rsid w:val="2A056A4F"/>
    <w:rsid w:val="2B11792E"/>
    <w:rsid w:val="2F724BD0"/>
    <w:rsid w:val="31995E79"/>
    <w:rsid w:val="31C54755"/>
    <w:rsid w:val="3216608C"/>
    <w:rsid w:val="328F13DA"/>
    <w:rsid w:val="34CE14C6"/>
    <w:rsid w:val="34D84CEC"/>
    <w:rsid w:val="35DC515B"/>
    <w:rsid w:val="37AF5AB7"/>
    <w:rsid w:val="393F2F73"/>
    <w:rsid w:val="3B1C3371"/>
    <w:rsid w:val="3BFB187B"/>
    <w:rsid w:val="3CC23198"/>
    <w:rsid w:val="3DDF4815"/>
    <w:rsid w:val="3FE669E5"/>
    <w:rsid w:val="43844604"/>
    <w:rsid w:val="444D1381"/>
    <w:rsid w:val="45367CA4"/>
    <w:rsid w:val="462A54F2"/>
    <w:rsid w:val="4870102A"/>
    <w:rsid w:val="4A6A5207"/>
    <w:rsid w:val="4B876203"/>
    <w:rsid w:val="50F63E28"/>
    <w:rsid w:val="51A67A84"/>
    <w:rsid w:val="5221007F"/>
    <w:rsid w:val="52926B5A"/>
    <w:rsid w:val="52F74B88"/>
    <w:rsid w:val="545C5E51"/>
    <w:rsid w:val="5486175B"/>
    <w:rsid w:val="57667D24"/>
    <w:rsid w:val="57CE5BC3"/>
    <w:rsid w:val="59C5385A"/>
    <w:rsid w:val="5A2D3E44"/>
    <w:rsid w:val="5A3260D4"/>
    <w:rsid w:val="5AD75FB8"/>
    <w:rsid w:val="5AE1516A"/>
    <w:rsid w:val="5B6A3A79"/>
    <w:rsid w:val="5C1A5F7B"/>
    <w:rsid w:val="5D7A3273"/>
    <w:rsid w:val="5E2B4120"/>
    <w:rsid w:val="601675AC"/>
    <w:rsid w:val="61587D6F"/>
    <w:rsid w:val="628D3982"/>
    <w:rsid w:val="62E96122"/>
    <w:rsid w:val="645771F8"/>
    <w:rsid w:val="66CC0AF0"/>
    <w:rsid w:val="693C3D94"/>
    <w:rsid w:val="6A54112D"/>
    <w:rsid w:val="6A701C86"/>
    <w:rsid w:val="6AA035AE"/>
    <w:rsid w:val="6BCB034D"/>
    <w:rsid w:val="6C0E1756"/>
    <w:rsid w:val="6C2B2406"/>
    <w:rsid w:val="6E0F2E14"/>
    <w:rsid w:val="6F1E141D"/>
    <w:rsid w:val="6F5354F8"/>
    <w:rsid w:val="727810B8"/>
    <w:rsid w:val="72E05B2C"/>
    <w:rsid w:val="740A2BDE"/>
    <w:rsid w:val="751839E0"/>
    <w:rsid w:val="76274F93"/>
    <w:rsid w:val="79EB3F2F"/>
    <w:rsid w:val="79FD3C4B"/>
    <w:rsid w:val="7B11789E"/>
    <w:rsid w:val="7D250FF6"/>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7059F5-8B4F-4F96-A75D-95DFDB650B0C}">
  <ds:schemaRefs/>
</ds:datastoreItem>
</file>